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5B012A" w:rsidRDefault="00F027FA" w:rsidP="008121EF">
      <w:pPr>
        <w:pStyle w:val="21"/>
        <w:ind w:firstLine="709"/>
        <w:jc w:val="center"/>
        <w:rPr>
          <w:rFonts w:cs="Arial"/>
          <w:snapToGrid w:val="0"/>
          <w:sz w:val="32"/>
          <w:szCs w:val="32"/>
          <w:lang w:val="en-US"/>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707207" w:rsidP="0052042B">
      <w:pPr>
        <w:pStyle w:val="21"/>
        <w:ind w:firstLine="0"/>
        <w:jc w:val="center"/>
        <w:rPr>
          <w:rFonts w:cs="Arial"/>
          <w:snapToGrid w:val="0"/>
          <w:sz w:val="20"/>
        </w:rPr>
      </w:pPr>
      <w:r>
        <w:rPr>
          <w:rFonts w:cs="Arial"/>
          <w:noProof/>
          <w:sz w:val="20"/>
        </w:rPr>
        <w:drawing>
          <wp:inline distT="0" distB="0" distL="0" distR="0">
            <wp:extent cx="5940425" cy="4453299"/>
            <wp:effectExtent l="0" t="0" r="3175" b="4445"/>
            <wp:docPr id="1" name="Рисунок 1" descr="C:\Users\User\Desktop\f7c1c9047b433ab70f76cd7525bed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7c1c9047b433ab70f76cd7525bed9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3299"/>
                    </a:xfrm>
                    <a:prstGeom prst="rect">
                      <a:avLst/>
                    </a:prstGeom>
                    <a:noFill/>
                    <a:ln>
                      <a:noFill/>
                    </a:ln>
                  </pic:spPr>
                </pic:pic>
              </a:graphicData>
            </a:graphic>
          </wp:inline>
        </w:drawing>
      </w:r>
    </w:p>
    <w:p w:rsidR="009F2A1A" w:rsidRDefault="0075593F" w:rsidP="009F2A1A">
      <w:pPr>
        <w:pStyle w:val="21"/>
        <w:ind w:firstLine="709"/>
        <w:jc w:val="right"/>
        <w:rPr>
          <w:rFonts w:cs="Arial"/>
          <w:snapToGrid w:val="0"/>
          <w:sz w:val="20"/>
        </w:rPr>
      </w:pPr>
      <w:r>
        <w:rPr>
          <w:rFonts w:cs="Arial"/>
          <w:snapToGrid w:val="0"/>
          <w:sz w:val="20"/>
        </w:rPr>
        <w:t>Феврал</w:t>
      </w:r>
      <w:r w:rsidR="00DF6A7D">
        <w:rPr>
          <w:rFonts w:cs="Arial"/>
          <w:snapToGrid w:val="0"/>
          <w:sz w:val="20"/>
        </w:rPr>
        <w:t>ь</w:t>
      </w:r>
      <w:r w:rsidR="009F2A1A">
        <w:rPr>
          <w:rFonts w:cs="Arial"/>
          <w:snapToGrid w:val="0"/>
          <w:sz w:val="20"/>
        </w:rPr>
        <w:t xml:space="preserve"> 201</w:t>
      </w:r>
      <w:r>
        <w:rPr>
          <w:rFonts w:cs="Arial"/>
          <w:snapToGrid w:val="0"/>
          <w:sz w:val="20"/>
        </w:rPr>
        <w:t>9</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707207"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349382" w:history="1">
            <w:r w:rsidR="00707207" w:rsidRPr="00B52AC5">
              <w:rPr>
                <w:rStyle w:val="a3"/>
                <w:rFonts w:cs="Arial"/>
                <w:noProof/>
                <w:snapToGrid w:val="0"/>
              </w:rPr>
              <w:t>Итоги месяца</w:t>
            </w:r>
            <w:r w:rsidR="00707207">
              <w:rPr>
                <w:noProof/>
                <w:webHidden/>
              </w:rPr>
              <w:tab/>
            </w:r>
            <w:r w:rsidR="00707207">
              <w:rPr>
                <w:noProof/>
                <w:webHidden/>
              </w:rPr>
              <w:fldChar w:fldCharType="begin"/>
            </w:r>
            <w:r w:rsidR="00707207">
              <w:rPr>
                <w:noProof/>
                <w:webHidden/>
              </w:rPr>
              <w:instrText xml:space="preserve"> PAGEREF _Toc2349382 \h </w:instrText>
            </w:r>
            <w:r w:rsidR="00707207">
              <w:rPr>
                <w:noProof/>
                <w:webHidden/>
              </w:rPr>
            </w:r>
            <w:r w:rsidR="00707207">
              <w:rPr>
                <w:noProof/>
                <w:webHidden/>
              </w:rPr>
              <w:fldChar w:fldCharType="separate"/>
            </w:r>
            <w:r w:rsidR="00707207">
              <w:rPr>
                <w:noProof/>
                <w:webHidden/>
              </w:rPr>
              <w:t>3</w:t>
            </w:r>
            <w:r w:rsidR="00707207">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3" w:history="1">
            <w:r w:rsidRPr="00B52AC5">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_Toc2349383 \h </w:instrText>
            </w:r>
            <w:r>
              <w:rPr>
                <w:noProof/>
                <w:webHidden/>
              </w:rPr>
            </w:r>
            <w:r>
              <w:rPr>
                <w:noProof/>
                <w:webHidden/>
              </w:rPr>
              <w:fldChar w:fldCharType="separate"/>
            </w:r>
            <w:r>
              <w:rPr>
                <w:noProof/>
                <w:webHidden/>
              </w:rPr>
              <w:t>3</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4" w:history="1">
            <w:r w:rsidRPr="00B52AC5">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_Toc2349384 \h </w:instrText>
            </w:r>
            <w:r>
              <w:rPr>
                <w:noProof/>
                <w:webHidden/>
              </w:rPr>
            </w:r>
            <w:r>
              <w:rPr>
                <w:noProof/>
                <w:webHidden/>
              </w:rPr>
              <w:fldChar w:fldCharType="separate"/>
            </w:r>
            <w:r>
              <w:rPr>
                <w:noProof/>
                <w:webHidden/>
              </w:rPr>
              <w:t>3</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5" w:history="1">
            <w:r w:rsidRPr="00B52AC5">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_Toc2349385 \h </w:instrText>
            </w:r>
            <w:r>
              <w:rPr>
                <w:noProof/>
                <w:webHidden/>
              </w:rPr>
            </w:r>
            <w:r>
              <w:rPr>
                <w:noProof/>
                <w:webHidden/>
              </w:rPr>
              <w:fldChar w:fldCharType="separate"/>
            </w:r>
            <w:r>
              <w:rPr>
                <w:noProof/>
                <w:webHidden/>
              </w:rPr>
              <w:t>3</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6" w:history="1">
            <w:r w:rsidRPr="00B52AC5">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_Toc2349386 \h </w:instrText>
            </w:r>
            <w:r>
              <w:rPr>
                <w:noProof/>
                <w:webHidden/>
              </w:rPr>
            </w:r>
            <w:r>
              <w:rPr>
                <w:noProof/>
                <w:webHidden/>
              </w:rPr>
              <w:fldChar w:fldCharType="separate"/>
            </w:r>
            <w:r>
              <w:rPr>
                <w:noProof/>
                <w:webHidden/>
              </w:rPr>
              <w:t>3</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7" w:history="1">
            <w:r w:rsidRPr="00B52AC5">
              <w:rPr>
                <w:rStyle w:val="a3"/>
                <w:rFonts w:cs="Arial"/>
                <w:noProof/>
              </w:rPr>
              <w:t>Таблица 5.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_Toc2349387 \h </w:instrText>
            </w:r>
            <w:r>
              <w:rPr>
                <w:noProof/>
                <w:webHidden/>
              </w:rPr>
            </w:r>
            <w:r>
              <w:rPr>
                <w:noProof/>
                <w:webHidden/>
              </w:rPr>
              <w:fldChar w:fldCharType="separate"/>
            </w:r>
            <w:r>
              <w:rPr>
                <w:noProof/>
                <w:webHidden/>
              </w:rPr>
              <w:t>4</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8" w:history="1">
            <w:r w:rsidRPr="00B52AC5">
              <w:rPr>
                <w:rStyle w:val="a3"/>
                <w:rFonts w:cs="Arial"/>
                <w:noProof/>
              </w:rPr>
              <w:t>Таблица 6. Удельная цена предложения 1 кв. м. по районам и по типам квартир, г. Владивостока (минимальная, средняя, максимальная)</w:t>
            </w:r>
            <w:r>
              <w:rPr>
                <w:noProof/>
                <w:webHidden/>
              </w:rPr>
              <w:tab/>
            </w:r>
            <w:r>
              <w:rPr>
                <w:noProof/>
                <w:webHidden/>
              </w:rPr>
              <w:fldChar w:fldCharType="begin"/>
            </w:r>
            <w:r>
              <w:rPr>
                <w:noProof/>
                <w:webHidden/>
              </w:rPr>
              <w:instrText xml:space="preserve"> PAGEREF _Toc2349388 \h </w:instrText>
            </w:r>
            <w:r>
              <w:rPr>
                <w:noProof/>
                <w:webHidden/>
              </w:rPr>
            </w:r>
            <w:r>
              <w:rPr>
                <w:noProof/>
                <w:webHidden/>
              </w:rPr>
              <w:fldChar w:fldCharType="separate"/>
            </w:r>
            <w:r>
              <w:rPr>
                <w:noProof/>
                <w:webHidden/>
              </w:rPr>
              <w:t>5</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89" w:history="1">
            <w:r w:rsidRPr="00B52AC5">
              <w:rPr>
                <w:rStyle w:val="a3"/>
                <w:rFonts w:cs="Arial"/>
                <w:noProof/>
                <w:snapToGrid w:val="0"/>
              </w:rPr>
              <w:t>Подготовлен</w:t>
            </w:r>
            <w:r>
              <w:rPr>
                <w:noProof/>
                <w:webHidden/>
              </w:rPr>
              <w:tab/>
            </w:r>
            <w:r>
              <w:rPr>
                <w:noProof/>
                <w:webHidden/>
              </w:rPr>
              <w:fldChar w:fldCharType="begin"/>
            </w:r>
            <w:r>
              <w:rPr>
                <w:noProof/>
                <w:webHidden/>
              </w:rPr>
              <w:instrText xml:space="preserve"> PAGEREF _Toc2349389 \h </w:instrText>
            </w:r>
            <w:r>
              <w:rPr>
                <w:noProof/>
                <w:webHidden/>
              </w:rPr>
            </w:r>
            <w:r>
              <w:rPr>
                <w:noProof/>
                <w:webHidden/>
              </w:rPr>
              <w:fldChar w:fldCharType="separate"/>
            </w:r>
            <w:r>
              <w:rPr>
                <w:noProof/>
                <w:webHidden/>
              </w:rPr>
              <w:t>6</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90" w:history="1">
            <w:r w:rsidRPr="00B52AC5">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_Toc2349390 \h </w:instrText>
            </w:r>
            <w:r>
              <w:rPr>
                <w:noProof/>
                <w:webHidden/>
              </w:rPr>
            </w:r>
            <w:r>
              <w:rPr>
                <w:noProof/>
                <w:webHidden/>
              </w:rPr>
              <w:fldChar w:fldCharType="separate"/>
            </w:r>
            <w:r>
              <w:rPr>
                <w:noProof/>
                <w:webHidden/>
              </w:rPr>
              <w:t>6</w:t>
            </w:r>
            <w:r>
              <w:rPr>
                <w:noProof/>
                <w:webHidden/>
              </w:rPr>
              <w:fldChar w:fldCharType="end"/>
            </w:r>
          </w:hyperlink>
        </w:p>
        <w:p w:rsidR="00707207" w:rsidRDefault="00707207">
          <w:pPr>
            <w:pStyle w:val="24"/>
            <w:rPr>
              <w:rFonts w:asciiTheme="minorHAnsi" w:eastAsiaTheme="minorEastAsia" w:hAnsiTheme="minorHAnsi" w:cstheme="minorBidi"/>
              <w:noProof/>
              <w:sz w:val="22"/>
              <w:szCs w:val="22"/>
            </w:rPr>
          </w:pPr>
          <w:hyperlink w:anchor="_Toc2349391" w:history="1">
            <w:r w:rsidRPr="00B52AC5">
              <w:rPr>
                <w:rStyle w:val="a3"/>
                <w:rFonts w:cs="Arial"/>
                <w:noProof/>
                <w:snapToGrid w:val="0"/>
              </w:rPr>
              <w:t>Примечания.</w:t>
            </w:r>
            <w:r>
              <w:rPr>
                <w:noProof/>
                <w:webHidden/>
              </w:rPr>
              <w:tab/>
            </w:r>
            <w:r>
              <w:rPr>
                <w:noProof/>
                <w:webHidden/>
              </w:rPr>
              <w:fldChar w:fldCharType="begin"/>
            </w:r>
            <w:r>
              <w:rPr>
                <w:noProof/>
                <w:webHidden/>
              </w:rPr>
              <w:instrText xml:space="preserve"> PAGEREF _Toc2349391 \h </w:instrText>
            </w:r>
            <w:r>
              <w:rPr>
                <w:noProof/>
                <w:webHidden/>
              </w:rPr>
            </w:r>
            <w:r>
              <w:rPr>
                <w:noProof/>
                <w:webHidden/>
              </w:rPr>
              <w:fldChar w:fldCharType="separate"/>
            </w:r>
            <w:r>
              <w:rPr>
                <w:noProof/>
                <w:webHidden/>
              </w:rPr>
              <w:t>6</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2349382"/>
      <w:r>
        <w:rPr>
          <w:rFonts w:ascii="Arial" w:hAnsi="Arial" w:cs="Arial"/>
          <w:snapToGrid w:val="0"/>
          <w:sz w:val="20"/>
          <w:szCs w:val="20"/>
        </w:rPr>
        <w:lastRenderedPageBreak/>
        <w:t>Итоги месяца</w:t>
      </w:r>
      <w:bookmarkEnd w:id="1"/>
    </w:p>
    <w:p w:rsidR="00707207" w:rsidRPr="001867EF" w:rsidRDefault="00707207" w:rsidP="00707207">
      <w:pPr>
        <w:spacing w:before="100" w:beforeAutospacing="1" w:after="100" w:afterAutospacing="1"/>
        <w:ind w:firstLine="708"/>
        <w:jc w:val="both"/>
        <w:rPr>
          <w:rFonts w:cs="Arial"/>
          <w:sz w:val="20"/>
        </w:rPr>
      </w:pPr>
      <w:r w:rsidRPr="001867EF">
        <w:rPr>
          <w:rFonts w:cs="Arial"/>
          <w:sz w:val="20"/>
        </w:rPr>
        <w:t xml:space="preserve">В </w:t>
      </w:r>
      <w:r>
        <w:rPr>
          <w:rFonts w:cs="Arial"/>
          <w:sz w:val="20"/>
        </w:rPr>
        <w:t>Феврале</w:t>
      </w:r>
      <w:r w:rsidRPr="001867EF">
        <w:rPr>
          <w:rFonts w:cs="Arial"/>
          <w:sz w:val="20"/>
        </w:rPr>
        <w:t xml:space="preserve"> 201</w:t>
      </w:r>
      <w:r>
        <w:rPr>
          <w:rFonts w:cs="Arial"/>
          <w:sz w:val="20"/>
        </w:rPr>
        <w:t>9</w:t>
      </w:r>
      <w:r w:rsidRPr="001867EF">
        <w:rPr>
          <w:rFonts w:cs="Arial"/>
          <w:sz w:val="20"/>
        </w:rPr>
        <w:t xml:space="preserve"> года средняя </w:t>
      </w:r>
      <w:r>
        <w:rPr>
          <w:rFonts w:cs="Arial"/>
          <w:sz w:val="20"/>
        </w:rPr>
        <w:t>удельная</w:t>
      </w:r>
      <w:r w:rsidRPr="001867EF">
        <w:rPr>
          <w:rFonts w:cs="Arial"/>
          <w:sz w:val="20"/>
        </w:rPr>
        <w:t xml:space="preserve"> цена предложения на вторичном рынке многоквартирного жилья г. Владивостока составила </w:t>
      </w:r>
      <w:r w:rsidRPr="001867EF">
        <w:rPr>
          <w:rFonts w:cs="Arial"/>
          <w:b/>
          <w:bCs/>
          <w:sz w:val="20"/>
        </w:rPr>
        <w:t>1</w:t>
      </w:r>
      <w:r>
        <w:rPr>
          <w:rFonts w:cs="Arial"/>
          <w:b/>
          <w:bCs/>
          <w:sz w:val="20"/>
        </w:rPr>
        <w:t>13 596</w:t>
      </w:r>
      <w:r w:rsidRPr="001867EF">
        <w:rPr>
          <w:rFonts w:cs="Arial"/>
          <w:b/>
          <w:bCs/>
          <w:sz w:val="20"/>
        </w:rPr>
        <w:t xml:space="preserve"> руб./кв.м. и увеличилась на </w:t>
      </w:r>
      <w:r>
        <w:rPr>
          <w:rFonts w:cs="Arial"/>
          <w:b/>
          <w:bCs/>
          <w:sz w:val="20"/>
        </w:rPr>
        <w:t>3,36</w:t>
      </w:r>
      <w:r w:rsidRPr="001867EF">
        <w:rPr>
          <w:rFonts w:cs="Arial"/>
          <w:b/>
          <w:bCs/>
          <w:sz w:val="20"/>
        </w:rPr>
        <w:t>%</w:t>
      </w:r>
      <w:r w:rsidRPr="001867EF">
        <w:rPr>
          <w:rFonts w:cs="Arial"/>
          <w:sz w:val="20"/>
        </w:rPr>
        <w:t> в сравнении с предыдущим месяцем</w:t>
      </w:r>
      <w:r>
        <w:rPr>
          <w:rFonts w:cs="Arial"/>
          <w:sz w:val="20"/>
        </w:rPr>
        <w:t xml:space="preserve">, </w:t>
      </w:r>
      <w:r w:rsidRPr="001867EF">
        <w:rPr>
          <w:rFonts w:cs="Arial"/>
          <w:sz w:val="20"/>
        </w:rPr>
        <w:t xml:space="preserve">средняя полная цена предложения составила </w:t>
      </w:r>
      <w:r>
        <w:rPr>
          <w:rFonts w:cs="Arial"/>
          <w:sz w:val="20"/>
        </w:rPr>
        <w:t xml:space="preserve">6  768 058 </w:t>
      </w:r>
      <w:r w:rsidRPr="001867EF">
        <w:rPr>
          <w:rFonts w:cs="Arial"/>
          <w:sz w:val="20"/>
        </w:rPr>
        <w:t>руб.</w:t>
      </w:r>
      <w:r>
        <w:rPr>
          <w:rFonts w:cs="Arial"/>
          <w:sz w:val="20"/>
        </w:rPr>
        <w:t xml:space="preserve"> и </w:t>
      </w:r>
      <w:r w:rsidRPr="001867EF">
        <w:rPr>
          <w:rFonts w:cs="Arial"/>
          <w:sz w:val="20"/>
        </w:rPr>
        <w:t>у</w:t>
      </w:r>
      <w:r>
        <w:rPr>
          <w:rFonts w:cs="Arial"/>
          <w:sz w:val="20"/>
        </w:rPr>
        <w:t>велич</w:t>
      </w:r>
      <w:r w:rsidRPr="001867EF">
        <w:rPr>
          <w:rFonts w:cs="Arial"/>
          <w:sz w:val="20"/>
        </w:rPr>
        <w:t xml:space="preserve">илась на </w:t>
      </w:r>
      <w:r>
        <w:rPr>
          <w:rFonts w:cs="Arial"/>
          <w:sz w:val="20"/>
        </w:rPr>
        <w:t>5,43</w:t>
      </w:r>
      <w:r w:rsidRPr="001867EF">
        <w:rPr>
          <w:rFonts w:cs="Arial"/>
          <w:sz w:val="20"/>
        </w:rPr>
        <w:t xml:space="preserve">% в сравнении с </w:t>
      </w:r>
      <w:r>
        <w:rPr>
          <w:rFonts w:cs="Arial"/>
          <w:sz w:val="20"/>
        </w:rPr>
        <w:t>Январем месяцем.</w:t>
      </w:r>
    </w:p>
    <w:p w:rsidR="00707207" w:rsidRDefault="00707207" w:rsidP="00707207">
      <w:pPr>
        <w:pStyle w:val="2"/>
        <w:rPr>
          <w:rFonts w:ascii="Arial" w:hAnsi="Arial" w:cs="Arial"/>
          <w:sz w:val="20"/>
          <w:szCs w:val="20"/>
        </w:rPr>
      </w:pPr>
      <w:bookmarkStart w:id="2" w:name="_Toc517610821"/>
      <w:bookmarkStart w:id="3" w:name="_Toc2349383"/>
      <w:r w:rsidRPr="008121EF">
        <w:rPr>
          <w:rFonts w:ascii="Arial" w:hAnsi="Arial" w:cs="Arial"/>
          <w:sz w:val="20"/>
          <w:szCs w:val="20"/>
        </w:rPr>
        <w:t xml:space="preserve">Таблица 1. Средняя удельная цена  предложения за </w:t>
      </w:r>
      <w:r>
        <w:rPr>
          <w:rFonts w:ascii="Arial" w:hAnsi="Arial" w:cs="Arial"/>
          <w:sz w:val="20"/>
          <w:szCs w:val="20"/>
        </w:rPr>
        <w:t>1 кв.м. в г. Владивостоке, руб.</w:t>
      </w:r>
      <w:bookmarkEnd w:id="2"/>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707207" w:rsidRPr="00606126" w:rsidTr="0070720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207" w:rsidRPr="00606126" w:rsidRDefault="00707207" w:rsidP="00707207">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207" w:rsidRPr="00606126" w:rsidRDefault="00707207" w:rsidP="00707207">
            <w:pPr>
              <w:jc w:val="center"/>
              <w:rPr>
                <w:rFonts w:cs="Arial"/>
                <w:color w:val="000000"/>
                <w:sz w:val="20"/>
              </w:rPr>
            </w:pPr>
            <w:r w:rsidRPr="00606126">
              <w:rPr>
                <w:rFonts w:cs="Arial"/>
                <w:color w:val="000000"/>
                <w:sz w:val="20"/>
              </w:rPr>
              <w:t>Средняя цена</w:t>
            </w:r>
          </w:p>
        </w:tc>
      </w:tr>
      <w:tr w:rsidR="00707207" w:rsidRPr="00606126" w:rsidTr="00707207">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207" w:rsidRPr="00606126" w:rsidRDefault="00707207" w:rsidP="00707207">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07207" w:rsidRPr="000F4F97" w:rsidRDefault="00707207" w:rsidP="00707207">
            <w:pPr>
              <w:jc w:val="center"/>
              <w:rPr>
                <w:rFonts w:cs="Arial"/>
                <w:b/>
                <w:color w:val="000000"/>
                <w:sz w:val="20"/>
              </w:rPr>
            </w:pPr>
            <w:r>
              <w:rPr>
                <w:rFonts w:cs="Arial"/>
                <w:b/>
                <w:sz w:val="20"/>
                <w:lang w:val="en-US"/>
              </w:rPr>
              <w:t>1</w:t>
            </w:r>
            <w:r>
              <w:rPr>
                <w:rFonts w:cs="Arial"/>
                <w:b/>
                <w:sz w:val="20"/>
              </w:rPr>
              <w:t>13 596</w:t>
            </w:r>
          </w:p>
        </w:tc>
      </w:tr>
    </w:tbl>
    <w:p w:rsidR="00707207" w:rsidRDefault="00707207" w:rsidP="00707207">
      <w:pPr>
        <w:pStyle w:val="2"/>
        <w:rPr>
          <w:rFonts w:ascii="Arial" w:hAnsi="Arial" w:cs="Arial"/>
          <w:sz w:val="20"/>
          <w:szCs w:val="20"/>
        </w:rPr>
      </w:pPr>
      <w:bookmarkStart w:id="4" w:name="_Toc2349384"/>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7170" w:type="dxa"/>
        <w:jc w:val="center"/>
        <w:tblInd w:w="93" w:type="dxa"/>
        <w:tblLook w:val="04A0" w:firstRow="1" w:lastRow="0" w:firstColumn="1" w:lastColumn="0" w:noHBand="0" w:noVBand="1"/>
      </w:tblPr>
      <w:tblGrid>
        <w:gridCol w:w="1960"/>
        <w:gridCol w:w="1823"/>
        <w:gridCol w:w="1807"/>
        <w:gridCol w:w="1580"/>
      </w:tblGrid>
      <w:tr w:rsidR="00707207" w:rsidRPr="000275F6" w:rsidTr="0070720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07" w:rsidRPr="000275F6" w:rsidRDefault="00707207" w:rsidP="00707207">
            <w:pPr>
              <w:jc w:val="center"/>
              <w:rPr>
                <w:rFonts w:cs="Arial"/>
                <w:b/>
                <w:bCs/>
                <w:color w:val="000000"/>
                <w:sz w:val="20"/>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Февраль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Январь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07207" w:rsidRPr="006B7E6F" w:rsidRDefault="00707207" w:rsidP="00707207">
            <w:pPr>
              <w:spacing w:before="100" w:beforeAutospacing="1" w:after="100" w:afterAutospacing="1"/>
              <w:jc w:val="center"/>
              <w:rPr>
                <w:rFonts w:cs="Arial"/>
                <w:color w:val="333333"/>
                <w:sz w:val="20"/>
              </w:rPr>
            </w:pPr>
          </w:p>
        </w:tc>
      </w:tr>
      <w:tr w:rsidR="00707207" w:rsidRPr="000275F6" w:rsidTr="00707207">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07207" w:rsidRPr="000275F6" w:rsidRDefault="00707207" w:rsidP="00707207">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07207" w:rsidRPr="006B7E6F" w:rsidRDefault="00707207" w:rsidP="00707207">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707207" w:rsidRPr="006B7E6F" w:rsidRDefault="00707207" w:rsidP="00707207">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707207" w:rsidRPr="006B7E6F" w:rsidRDefault="00707207" w:rsidP="00707207">
            <w:pPr>
              <w:spacing w:before="100" w:beforeAutospacing="1" w:after="100" w:afterAutospacing="1"/>
              <w:jc w:val="center"/>
              <w:rPr>
                <w:rFonts w:cs="Arial"/>
                <w:color w:val="333333"/>
                <w:sz w:val="20"/>
              </w:rPr>
            </w:pPr>
            <w:r w:rsidRPr="006B7E6F">
              <w:rPr>
                <w:rFonts w:cs="Arial"/>
                <w:b/>
                <w:bCs/>
                <w:color w:val="333333"/>
                <w:sz w:val="20"/>
              </w:rPr>
              <w:t>% изм.</w:t>
            </w:r>
          </w:p>
        </w:tc>
      </w:tr>
      <w:tr w:rsidR="00707207" w:rsidRPr="000275F6" w:rsidTr="0070720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62 551</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73 036</w:t>
            </w:r>
          </w:p>
        </w:tc>
        <w:tc>
          <w:tcPr>
            <w:tcW w:w="1580"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-14,36%</w:t>
            </w:r>
          </w:p>
        </w:tc>
      </w:tr>
      <w:tr w:rsidR="00707207" w:rsidRPr="000275F6" w:rsidTr="0070720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113 466</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111 524</w:t>
            </w:r>
          </w:p>
        </w:tc>
        <w:tc>
          <w:tcPr>
            <w:tcW w:w="1580"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1,74%</w:t>
            </w:r>
          </w:p>
        </w:tc>
      </w:tr>
      <w:tr w:rsidR="00707207" w:rsidRPr="000275F6" w:rsidTr="0070720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123 054</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116 512</w:t>
            </w:r>
          </w:p>
        </w:tc>
        <w:tc>
          <w:tcPr>
            <w:tcW w:w="1580"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5,61%</w:t>
            </w:r>
          </w:p>
        </w:tc>
      </w:tr>
      <w:tr w:rsidR="00707207" w:rsidRPr="000275F6" w:rsidTr="0070720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105 202</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102 503</w:t>
            </w:r>
          </w:p>
        </w:tc>
        <w:tc>
          <w:tcPr>
            <w:tcW w:w="1580"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2,63%</w:t>
            </w:r>
          </w:p>
        </w:tc>
      </w:tr>
      <w:tr w:rsidR="00707207" w:rsidRPr="000275F6" w:rsidTr="00707207">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97 556</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94 112</w:t>
            </w:r>
          </w:p>
        </w:tc>
        <w:tc>
          <w:tcPr>
            <w:tcW w:w="1580"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3,66%</w:t>
            </w:r>
          </w:p>
        </w:tc>
      </w:tr>
    </w:tbl>
    <w:p w:rsidR="00707207" w:rsidRDefault="00707207" w:rsidP="00707207">
      <w:pPr>
        <w:pStyle w:val="2"/>
        <w:rPr>
          <w:rFonts w:ascii="Arial" w:hAnsi="Arial" w:cs="Arial"/>
          <w:sz w:val="20"/>
          <w:szCs w:val="20"/>
        </w:rPr>
      </w:pPr>
      <w:bookmarkStart w:id="5" w:name="_Toc2349385"/>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bookmarkEnd w:id="5"/>
    </w:p>
    <w:tbl>
      <w:tblPr>
        <w:tblW w:w="7524" w:type="dxa"/>
        <w:jc w:val="center"/>
        <w:tblInd w:w="93" w:type="dxa"/>
        <w:tblLook w:val="04A0" w:firstRow="1" w:lastRow="0" w:firstColumn="1" w:lastColumn="0" w:noHBand="0" w:noVBand="1"/>
      </w:tblPr>
      <w:tblGrid>
        <w:gridCol w:w="2620"/>
        <w:gridCol w:w="1807"/>
        <w:gridCol w:w="1817"/>
        <w:gridCol w:w="1280"/>
      </w:tblGrid>
      <w:tr w:rsidR="00707207" w:rsidRPr="000275F6" w:rsidTr="00707207">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207" w:rsidRPr="000275F6" w:rsidRDefault="00707207" w:rsidP="00707207">
            <w:pPr>
              <w:jc w:val="center"/>
              <w:rPr>
                <w:rFonts w:cs="Arial"/>
                <w:b/>
                <w:bCs/>
                <w:color w:val="000000"/>
                <w:sz w:val="20"/>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Февраль</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Январь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07207" w:rsidRPr="006B7E6F" w:rsidRDefault="00707207" w:rsidP="00707207">
            <w:pPr>
              <w:spacing w:before="100" w:beforeAutospacing="1" w:after="100" w:afterAutospacing="1"/>
              <w:rPr>
                <w:rFonts w:cs="Arial"/>
                <w:color w:val="333333"/>
                <w:sz w:val="20"/>
              </w:rPr>
            </w:pPr>
          </w:p>
        </w:tc>
      </w:tr>
      <w:tr w:rsidR="00707207" w:rsidRPr="000275F6" w:rsidTr="00707207">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07207" w:rsidRPr="000275F6" w:rsidRDefault="00707207" w:rsidP="00707207">
            <w:pPr>
              <w:jc w:val="center"/>
              <w:rPr>
                <w:rFonts w:cs="Arial"/>
                <w:b/>
                <w:bCs/>
                <w:color w:val="000000"/>
                <w:sz w:val="20"/>
              </w:rPr>
            </w:pPr>
            <w:r w:rsidRPr="000275F6">
              <w:rPr>
                <w:rFonts w:cs="Arial"/>
                <w:b/>
                <w:bCs/>
                <w:color w:val="000000"/>
                <w:sz w:val="20"/>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707207" w:rsidRPr="008E2711" w:rsidRDefault="00707207" w:rsidP="00707207">
            <w:pPr>
              <w:spacing w:before="100" w:beforeAutospacing="1" w:after="100" w:afterAutospacing="1"/>
              <w:jc w:val="center"/>
              <w:rPr>
                <w:rFonts w:cs="Arial"/>
                <w:b/>
                <w:color w:val="333333"/>
                <w:sz w:val="20"/>
              </w:rPr>
            </w:pPr>
            <w:r w:rsidRPr="008E2711">
              <w:rPr>
                <w:rFonts w:cs="Arial"/>
                <w:b/>
                <w:bCs/>
                <w:color w:val="333333"/>
                <w:sz w:val="20"/>
              </w:rPr>
              <w:t>Средняя</w:t>
            </w:r>
          </w:p>
        </w:tc>
        <w:tc>
          <w:tcPr>
            <w:tcW w:w="1817" w:type="dxa"/>
            <w:tcBorders>
              <w:top w:val="nil"/>
              <w:left w:val="nil"/>
              <w:bottom w:val="single" w:sz="4" w:space="0" w:color="auto"/>
              <w:right w:val="single" w:sz="4" w:space="0" w:color="auto"/>
            </w:tcBorders>
            <w:shd w:val="clear" w:color="auto" w:fill="D6E3BC" w:themeFill="accent3" w:themeFillTint="66"/>
            <w:noWrap/>
            <w:vAlign w:val="center"/>
            <w:hideMark/>
          </w:tcPr>
          <w:p w:rsidR="00707207" w:rsidRPr="008E2711" w:rsidRDefault="00707207" w:rsidP="00707207">
            <w:pPr>
              <w:spacing w:before="100" w:beforeAutospacing="1" w:after="100" w:afterAutospacing="1"/>
              <w:jc w:val="center"/>
              <w:rPr>
                <w:rFonts w:cs="Arial"/>
                <w:b/>
                <w:color w:val="333333"/>
                <w:sz w:val="20"/>
              </w:rPr>
            </w:pPr>
            <w:r w:rsidRPr="008E2711">
              <w:rPr>
                <w:rFonts w:cs="Arial"/>
                <w:b/>
                <w:color w:val="333333"/>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707207" w:rsidRPr="008E2711" w:rsidRDefault="00707207" w:rsidP="00707207">
            <w:pPr>
              <w:spacing w:before="100" w:beforeAutospacing="1" w:after="100" w:afterAutospacing="1"/>
              <w:rPr>
                <w:rFonts w:cs="Arial"/>
                <w:b/>
                <w:color w:val="333333"/>
                <w:sz w:val="20"/>
              </w:rPr>
            </w:pPr>
            <w:r w:rsidRPr="008E2711">
              <w:rPr>
                <w:rFonts w:cs="Arial"/>
                <w:b/>
                <w:color w:val="333333"/>
                <w:sz w:val="20"/>
              </w:rPr>
              <w:t>% изм.</w:t>
            </w:r>
          </w:p>
        </w:tc>
      </w:tr>
      <w:tr w:rsidR="00707207" w:rsidRPr="000275F6" w:rsidTr="0070720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100 576</w:t>
            </w:r>
          </w:p>
        </w:tc>
        <w:tc>
          <w:tcPr>
            <w:tcW w:w="181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98 166</w:t>
            </w:r>
          </w:p>
        </w:tc>
        <w:tc>
          <w:tcPr>
            <w:tcW w:w="128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center"/>
              <w:rPr>
                <w:rFonts w:cs="Arial"/>
                <w:color w:val="000000"/>
                <w:sz w:val="20"/>
              </w:rPr>
            </w:pPr>
            <w:r>
              <w:rPr>
                <w:rFonts w:cs="Arial"/>
                <w:color w:val="000000"/>
                <w:sz w:val="20"/>
              </w:rPr>
              <w:t>2,46%</w:t>
            </w:r>
          </w:p>
        </w:tc>
      </w:tr>
      <w:tr w:rsidR="00707207" w:rsidRPr="000275F6" w:rsidTr="0070720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112 576</w:t>
            </w:r>
          </w:p>
        </w:tc>
        <w:tc>
          <w:tcPr>
            <w:tcW w:w="181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108 859</w:t>
            </w:r>
          </w:p>
        </w:tc>
        <w:tc>
          <w:tcPr>
            <w:tcW w:w="128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center"/>
              <w:rPr>
                <w:rFonts w:cs="Arial"/>
                <w:color w:val="000000"/>
                <w:sz w:val="20"/>
              </w:rPr>
            </w:pPr>
            <w:r>
              <w:rPr>
                <w:rFonts w:cs="Arial"/>
                <w:color w:val="000000"/>
                <w:sz w:val="20"/>
              </w:rPr>
              <w:t>3,41%</w:t>
            </w:r>
          </w:p>
        </w:tc>
      </w:tr>
      <w:tr w:rsidR="00707207" w:rsidRPr="000275F6" w:rsidTr="00707207">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707207" w:rsidRDefault="00707207" w:rsidP="00707207">
            <w:pPr>
              <w:rPr>
                <w:rFonts w:cs="Arial"/>
                <w:b/>
                <w:bCs/>
                <w:color w:val="000000"/>
                <w:sz w:val="20"/>
              </w:rPr>
            </w:pPr>
            <w:r>
              <w:rPr>
                <w:rFonts w:cs="Arial"/>
                <w:b/>
                <w:bCs/>
                <w:color w:val="000000"/>
                <w:sz w:val="20"/>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106 956</w:t>
            </w:r>
          </w:p>
        </w:tc>
        <w:tc>
          <w:tcPr>
            <w:tcW w:w="181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right"/>
              <w:rPr>
                <w:rFonts w:cs="Arial"/>
                <w:color w:val="000000"/>
                <w:sz w:val="20"/>
              </w:rPr>
            </w:pPr>
            <w:r>
              <w:rPr>
                <w:rFonts w:cs="Arial"/>
                <w:color w:val="000000"/>
                <w:sz w:val="20"/>
              </w:rPr>
              <w:t>102 754</w:t>
            </w:r>
          </w:p>
        </w:tc>
        <w:tc>
          <w:tcPr>
            <w:tcW w:w="128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center"/>
              <w:rPr>
                <w:rFonts w:cs="Arial"/>
                <w:color w:val="000000"/>
                <w:sz w:val="20"/>
              </w:rPr>
            </w:pPr>
            <w:r>
              <w:rPr>
                <w:rFonts w:cs="Arial"/>
                <w:color w:val="000000"/>
                <w:sz w:val="20"/>
              </w:rPr>
              <w:t>4,09%</w:t>
            </w:r>
          </w:p>
        </w:tc>
      </w:tr>
    </w:tbl>
    <w:p w:rsidR="00707207" w:rsidRDefault="00707207" w:rsidP="00707207">
      <w:pPr>
        <w:pStyle w:val="2"/>
        <w:rPr>
          <w:rFonts w:ascii="Arial" w:hAnsi="Arial" w:cs="Arial"/>
          <w:sz w:val="20"/>
          <w:szCs w:val="20"/>
        </w:rPr>
      </w:pPr>
      <w:bookmarkStart w:id="6" w:name="_Toc2349386"/>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76"/>
        <w:gridCol w:w="1040"/>
        <w:gridCol w:w="1268"/>
        <w:gridCol w:w="986"/>
      </w:tblGrid>
      <w:tr w:rsidR="00707207" w:rsidRPr="001742F0" w:rsidTr="00707207">
        <w:trPr>
          <w:trHeight w:val="170"/>
        </w:trPr>
        <w:tc>
          <w:tcPr>
            <w:tcW w:w="1565" w:type="dxa"/>
            <w:shd w:val="clear" w:color="auto" w:fill="auto"/>
            <w:noWrap/>
            <w:vAlign w:val="bottom"/>
            <w:hideMark/>
          </w:tcPr>
          <w:p w:rsidR="00707207" w:rsidRPr="001742F0" w:rsidRDefault="00707207" w:rsidP="00707207">
            <w:pPr>
              <w:rPr>
                <w:rFonts w:cs="Arial"/>
                <w:color w:val="000000"/>
                <w:sz w:val="18"/>
                <w:szCs w:val="18"/>
              </w:rPr>
            </w:pPr>
          </w:p>
        </w:tc>
        <w:tc>
          <w:tcPr>
            <w:tcW w:w="846" w:type="dxa"/>
            <w:shd w:val="clear" w:color="auto" w:fill="auto"/>
            <w:noWrap/>
            <w:vAlign w:val="bottom"/>
            <w:hideMark/>
          </w:tcPr>
          <w:p w:rsidR="00707207" w:rsidRPr="001742F0" w:rsidRDefault="00707207" w:rsidP="00707207">
            <w:pPr>
              <w:rPr>
                <w:rFonts w:cs="Arial"/>
                <w:color w:val="000000"/>
                <w:sz w:val="18"/>
                <w:szCs w:val="18"/>
              </w:rPr>
            </w:pPr>
          </w:p>
        </w:tc>
        <w:tc>
          <w:tcPr>
            <w:tcW w:w="1210" w:type="dxa"/>
            <w:shd w:val="clear" w:color="000000" w:fill="D8E4BC"/>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Февраль</w:t>
            </w:r>
          </w:p>
        </w:tc>
        <w:tc>
          <w:tcPr>
            <w:tcW w:w="990" w:type="dxa"/>
            <w:shd w:val="clear" w:color="auto" w:fill="auto"/>
            <w:noWrap/>
            <w:vAlign w:val="center"/>
            <w:hideMark/>
          </w:tcPr>
          <w:p w:rsidR="00707207" w:rsidRPr="001742F0" w:rsidRDefault="00707207" w:rsidP="00707207">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707207" w:rsidRPr="001742F0" w:rsidRDefault="00707207" w:rsidP="00707207">
            <w:pPr>
              <w:jc w:val="center"/>
              <w:rPr>
                <w:rFonts w:cs="Arial"/>
                <w:color w:val="000000"/>
                <w:sz w:val="18"/>
                <w:szCs w:val="18"/>
              </w:rPr>
            </w:pPr>
          </w:p>
        </w:tc>
        <w:tc>
          <w:tcPr>
            <w:tcW w:w="1176" w:type="dxa"/>
            <w:shd w:val="clear" w:color="000000" w:fill="D8E4BC"/>
            <w:noWrap/>
            <w:vAlign w:val="center"/>
            <w:hideMark/>
          </w:tcPr>
          <w:p w:rsidR="00707207" w:rsidRPr="0082525C" w:rsidRDefault="00707207" w:rsidP="00707207">
            <w:pPr>
              <w:spacing w:before="100" w:beforeAutospacing="1" w:after="100" w:afterAutospacing="1"/>
              <w:jc w:val="center"/>
              <w:rPr>
                <w:rFonts w:cs="Arial"/>
                <w:color w:val="333333"/>
                <w:sz w:val="20"/>
              </w:rPr>
            </w:pPr>
            <w:r>
              <w:rPr>
                <w:rFonts w:cs="Arial"/>
                <w:b/>
                <w:bCs/>
                <w:color w:val="333333"/>
                <w:sz w:val="20"/>
              </w:rPr>
              <w:t>2019</w:t>
            </w:r>
            <w:r w:rsidRPr="0082525C">
              <w:rPr>
                <w:rFonts w:cs="Arial"/>
                <w:b/>
                <w:bCs/>
                <w:color w:val="333333"/>
                <w:sz w:val="20"/>
              </w:rPr>
              <w:t xml:space="preserve">, </w:t>
            </w:r>
            <w:r>
              <w:rPr>
                <w:rFonts w:cs="Arial"/>
                <w:b/>
                <w:bCs/>
                <w:color w:val="333333"/>
                <w:sz w:val="20"/>
              </w:rPr>
              <w:t>Январь</w:t>
            </w:r>
          </w:p>
        </w:tc>
        <w:tc>
          <w:tcPr>
            <w:tcW w:w="1040" w:type="dxa"/>
            <w:shd w:val="clear" w:color="auto" w:fill="auto"/>
            <w:noWrap/>
            <w:vAlign w:val="bottom"/>
            <w:hideMark/>
          </w:tcPr>
          <w:p w:rsidR="00707207" w:rsidRPr="001742F0" w:rsidRDefault="00707207" w:rsidP="00707207">
            <w:pPr>
              <w:rPr>
                <w:rFonts w:cs="Arial"/>
                <w:color w:val="000000"/>
                <w:sz w:val="18"/>
                <w:szCs w:val="18"/>
              </w:rPr>
            </w:pPr>
          </w:p>
        </w:tc>
        <w:tc>
          <w:tcPr>
            <w:tcW w:w="1268" w:type="dxa"/>
            <w:shd w:val="clear" w:color="auto" w:fill="auto"/>
            <w:noWrap/>
            <w:vAlign w:val="bottom"/>
            <w:hideMark/>
          </w:tcPr>
          <w:p w:rsidR="00707207" w:rsidRPr="001742F0" w:rsidRDefault="00707207" w:rsidP="00707207">
            <w:pPr>
              <w:rPr>
                <w:rFonts w:cs="Arial"/>
                <w:color w:val="000000"/>
                <w:sz w:val="18"/>
                <w:szCs w:val="18"/>
              </w:rPr>
            </w:pPr>
          </w:p>
        </w:tc>
        <w:tc>
          <w:tcPr>
            <w:tcW w:w="986" w:type="dxa"/>
            <w:shd w:val="clear" w:color="auto" w:fill="auto"/>
            <w:noWrap/>
            <w:vAlign w:val="bottom"/>
            <w:hideMark/>
          </w:tcPr>
          <w:p w:rsidR="00707207" w:rsidRPr="001742F0" w:rsidRDefault="00707207" w:rsidP="00707207">
            <w:pPr>
              <w:rPr>
                <w:rFonts w:cs="Arial"/>
                <w:color w:val="000000"/>
                <w:sz w:val="18"/>
                <w:szCs w:val="18"/>
              </w:rPr>
            </w:pPr>
          </w:p>
        </w:tc>
      </w:tr>
      <w:tr w:rsidR="00707207" w:rsidRPr="001742F0" w:rsidTr="00707207">
        <w:trPr>
          <w:trHeight w:val="170"/>
        </w:trPr>
        <w:tc>
          <w:tcPr>
            <w:tcW w:w="1565"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Мин</w:t>
            </w:r>
          </w:p>
        </w:tc>
        <w:tc>
          <w:tcPr>
            <w:tcW w:w="1210"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proofErr w:type="gramStart"/>
            <w:r w:rsidRPr="004306E1">
              <w:rPr>
                <w:rFonts w:cs="Arial"/>
                <w:b/>
                <w:bCs/>
                <w:color w:val="000000"/>
                <w:sz w:val="18"/>
                <w:szCs w:val="18"/>
              </w:rPr>
              <w:t>Полная</w:t>
            </w:r>
            <w:proofErr w:type="gramEnd"/>
            <w:r w:rsidRPr="004306E1">
              <w:rPr>
                <w:rFonts w:cs="Arial"/>
                <w:b/>
                <w:bCs/>
                <w:color w:val="000000"/>
                <w:sz w:val="18"/>
                <w:szCs w:val="18"/>
              </w:rPr>
              <w:t xml:space="preserve"> Руб.</w:t>
            </w:r>
          </w:p>
        </w:tc>
        <w:tc>
          <w:tcPr>
            <w:tcW w:w="1176" w:type="dxa"/>
            <w:shd w:val="clear" w:color="auto" w:fill="D6E3BC" w:themeFill="accent3" w:themeFillTint="66"/>
            <w:noWrap/>
            <w:vAlign w:val="center"/>
            <w:hideMark/>
          </w:tcPr>
          <w:p w:rsidR="00707207" w:rsidRPr="004306E1" w:rsidRDefault="00707207" w:rsidP="00707207">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 изм.</w:t>
            </w:r>
          </w:p>
          <w:p w:rsidR="00707207" w:rsidRPr="004306E1" w:rsidRDefault="00707207" w:rsidP="00707207">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707207" w:rsidRPr="004306E1" w:rsidRDefault="00707207" w:rsidP="00707207">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986" w:type="dxa"/>
            <w:shd w:val="clear" w:color="auto" w:fill="D6E3BC" w:themeFill="accent3" w:themeFillTint="66"/>
            <w:noWrap/>
            <w:vAlign w:val="center"/>
            <w:hideMark/>
          </w:tcPr>
          <w:p w:rsidR="00707207" w:rsidRPr="004306E1" w:rsidRDefault="00707207" w:rsidP="00707207">
            <w:pPr>
              <w:jc w:val="center"/>
              <w:rPr>
                <w:rFonts w:cs="Arial"/>
                <w:b/>
                <w:bCs/>
                <w:color w:val="000000"/>
                <w:sz w:val="18"/>
                <w:szCs w:val="18"/>
              </w:rPr>
            </w:pPr>
            <w:r w:rsidRPr="004306E1">
              <w:rPr>
                <w:rFonts w:cs="Arial"/>
                <w:b/>
                <w:bCs/>
                <w:color w:val="000000"/>
                <w:sz w:val="18"/>
                <w:szCs w:val="18"/>
              </w:rPr>
              <w:t>% изм.</w:t>
            </w:r>
          </w:p>
          <w:p w:rsidR="00707207" w:rsidRPr="004306E1" w:rsidRDefault="00707207" w:rsidP="00707207">
            <w:pPr>
              <w:jc w:val="center"/>
              <w:rPr>
                <w:rFonts w:cs="Arial"/>
                <w:b/>
                <w:bCs/>
                <w:color w:val="000000"/>
                <w:sz w:val="18"/>
                <w:szCs w:val="18"/>
              </w:rPr>
            </w:pPr>
            <w:r w:rsidRPr="004306E1">
              <w:rPr>
                <w:rFonts w:cs="Arial"/>
                <w:b/>
                <w:bCs/>
                <w:color w:val="000000"/>
                <w:sz w:val="18"/>
                <w:szCs w:val="18"/>
              </w:rPr>
              <w:t>Полной</w:t>
            </w:r>
          </w:p>
        </w:tc>
      </w:tr>
      <w:tr w:rsidR="00707207" w:rsidRPr="001742F0" w:rsidTr="00707207">
        <w:trPr>
          <w:trHeight w:val="170"/>
        </w:trPr>
        <w:tc>
          <w:tcPr>
            <w:tcW w:w="1565" w:type="dxa"/>
            <w:shd w:val="clear" w:color="auto" w:fill="auto"/>
            <w:noWrap/>
            <w:vAlign w:val="bottom"/>
            <w:hideMark/>
          </w:tcPr>
          <w:p w:rsidR="00707207" w:rsidRDefault="00707207" w:rsidP="00707207">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25 000</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116 999</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233 333</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4 306 580</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112 218</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4,26%</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3 708 584</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16,12%</w:t>
            </w:r>
          </w:p>
        </w:tc>
      </w:tr>
      <w:tr w:rsidR="00707207" w:rsidRPr="001742F0" w:rsidTr="00707207">
        <w:trPr>
          <w:trHeight w:val="170"/>
        </w:trPr>
        <w:tc>
          <w:tcPr>
            <w:tcW w:w="1565" w:type="dxa"/>
            <w:shd w:val="clear" w:color="auto" w:fill="auto"/>
            <w:noWrap/>
            <w:vAlign w:val="bottom"/>
            <w:hideMark/>
          </w:tcPr>
          <w:p w:rsidR="00707207" w:rsidRDefault="00707207" w:rsidP="00707207">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19 512</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110 466</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281 818</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5 977 319</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104 766</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5,44%</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5 304 911</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12,68%</w:t>
            </w:r>
          </w:p>
        </w:tc>
      </w:tr>
      <w:tr w:rsidR="00707207" w:rsidRPr="001742F0" w:rsidTr="00707207">
        <w:trPr>
          <w:trHeight w:val="170"/>
        </w:trPr>
        <w:tc>
          <w:tcPr>
            <w:tcW w:w="1565" w:type="dxa"/>
            <w:shd w:val="clear" w:color="auto" w:fill="auto"/>
            <w:noWrap/>
            <w:vAlign w:val="bottom"/>
            <w:hideMark/>
          </w:tcPr>
          <w:p w:rsidR="00707207" w:rsidRDefault="00707207" w:rsidP="00707207">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27 000</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109 856</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374 150</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8 845 949</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106 256</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3,39%</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7 138 592</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23,92%</w:t>
            </w:r>
          </w:p>
        </w:tc>
      </w:tr>
      <w:tr w:rsidR="00707207" w:rsidRPr="001742F0" w:rsidTr="00707207">
        <w:trPr>
          <w:trHeight w:val="170"/>
        </w:trPr>
        <w:tc>
          <w:tcPr>
            <w:tcW w:w="1565" w:type="dxa"/>
            <w:shd w:val="clear" w:color="auto" w:fill="auto"/>
            <w:noWrap/>
            <w:vAlign w:val="bottom"/>
            <w:hideMark/>
          </w:tcPr>
          <w:p w:rsidR="00707207" w:rsidRDefault="00707207" w:rsidP="00707207">
            <w:pPr>
              <w:rPr>
                <w:rFonts w:cs="Arial"/>
                <w:b/>
                <w:bCs/>
                <w:color w:val="000000"/>
                <w:sz w:val="20"/>
              </w:rPr>
            </w:pPr>
            <w:r>
              <w:rPr>
                <w:rFonts w:cs="Arial"/>
                <w:b/>
                <w:bCs/>
                <w:color w:val="000000"/>
                <w:sz w:val="20"/>
              </w:rPr>
              <w:t>4-комнатная и более</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30 172</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111 438</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281 081</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14 987 270</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106 597</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4,54%</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12 297 058</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21,88%</w:t>
            </w:r>
          </w:p>
        </w:tc>
      </w:tr>
      <w:tr w:rsidR="00707207" w:rsidRPr="001742F0" w:rsidTr="00707207">
        <w:trPr>
          <w:trHeight w:val="170"/>
        </w:trPr>
        <w:tc>
          <w:tcPr>
            <w:tcW w:w="1565" w:type="dxa"/>
            <w:shd w:val="clear" w:color="auto" w:fill="auto"/>
            <w:noWrap/>
            <w:vAlign w:val="bottom"/>
            <w:hideMark/>
          </w:tcPr>
          <w:p w:rsidR="00707207" w:rsidRDefault="00707207" w:rsidP="00707207">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42 105</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120 195</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195 000</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2 337 956</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114 804</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4,70%</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2 061 697</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13,40%</w:t>
            </w:r>
          </w:p>
        </w:tc>
      </w:tr>
      <w:tr w:rsidR="00707207" w:rsidRPr="001742F0" w:rsidTr="00707207">
        <w:trPr>
          <w:trHeight w:val="170"/>
        </w:trPr>
        <w:tc>
          <w:tcPr>
            <w:tcW w:w="1565" w:type="dxa"/>
            <w:shd w:val="clear" w:color="auto" w:fill="auto"/>
            <w:noWrap/>
            <w:vAlign w:val="bottom"/>
            <w:hideMark/>
          </w:tcPr>
          <w:p w:rsidR="00707207" w:rsidRDefault="00707207" w:rsidP="00707207">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46 000</w:t>
            </w:r>
          </w:p>
        </w:tc>
        <w:tc>
          <w:tcPr>
            <w:tcW w:w="1210" w:type="dxa"/>
            <w:shd w:val="clear" w:color="000000" w:fill="D8E4BC"/>
            <w:noWrap/>
            <w:vAlign w:val="center"/>
            <w:hideMark/>
          </w:tcPr>
          <w:p w:rsidR="00707207" w:rsidRDefault="00707207" w:rsidP="00707207">
            <w:pPr>
              <w:jc w:val="center"/>
              <w:rPr>
                <w:rFonts w:cs="Arial"/>
                <w:color w:val="000000"/>
                <w:sz w:val="20"/>
              </w:rPr>
            </w:pPr>
            <w:r>
              <w:rPr>
                <w:rFonts w:cs="Arial"/>
                <w:color w:val="000000"/>
                <w:sz w:val="20"/>
              </w:rPr>
              <w:t>102 743</w:t>
            </w:r>
          </w:p>
        </w:tc>
        <w:tc>
          <w:tcPr>
            <w:tcW w:w="99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191 875</w:t>
            </w:r>
          </w:p>
        </w:tc>
        <w:tc>
          <w:tcPr>
            <w:tcW w:w="1267"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1 723 000</w:t>
            </w:r>
          </w:p>
        </w:tc>
        <w:tc>
          <w:tcPr>
            <w:tcW w:w="1176" w:type="dxa"/>
            <w:shd w:val="clear" w:color="000000" w:fill="D6E3BC"/>
            <w:noWrap/>
            <w:vAlign w:val="center"/>
            <w:hideMark/>
          </w:tcPr>
          <w:p w:rsidR="00707207" w:rsidRDefault="00707207" w:rsidP="00707207">
            <w:pPr>
              <w:jc w:val="center"/>
              <w:rPr>
                <w:rFonts w:cs="Arial"/>
                <w:color w:val="000000"/>
                <w:sz w:val="20"/>
              </w:rPr>
            </w:pPr>
            <w:r>
              <w:rPr>
                <w:rFonts w:cs="Arial"/>
                <w:color w:val="000000"/>
                <w:sz w:val="20"/>
              </w:rPr>
              <w:t>91 010</w:t>
            </w:r>
          </w:p>
        </w:tc>
        <w:tc>
          <w:tcPr>
            <w:tcW w:w="1040"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12,89%</w:t>
            </w:r>
          </w:p>
        </w:tc>
        <w:tc>
          <w:tcPr>
            <w:tcW w:w="1268"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1 530 645</w:t>
            </w:r>
          </w:p>
        </w:tc>
        <w:tc>
          <w:tcPr>
            <w:tcW w:w="986" w:type="dxa"/>
            <w:shd w:val="clear" w:color="auto" w:fill="auto"/>
            <w:noWrap/>
            <w:vAlign w:val="center"/>
            <w:hideMark/>
          </w:tcPr>
          <w:p w:rsidR="00707207" w:rsidRDefault="00707207" w:rsidP="00707207">
            <w:pPr>
              <w:jc w:val="center"/>
              <w:rPr>
                <w:rFonts w:cs="Arial"/>
                <w:color w:val="000000"/>
                <w:sz w:val="20"/>
              </w:rPr>
            </w:pPr>
            <w:r>
              <w:rPr>
                <w:rFonts w:cs="Arial"/>
                <w:color w:val="000000"/>
                <w:sz w:val="20"/>
              </w:rPr>
              <w:t>12,57%</w:t>
            </w:r>
          </w:p>
        </w:tc>
      </w:tr>
    </w:tbl>
    <w:p w:rsidR="00707207" w:rsidRPr="001778AD" w:rsidRDefault="00707207" w:rsidP="00707207"/>
    <w:p w:rsidR="00707207" w:rsidRDefault="00707207" w:rsidP="00707207">
      <w:pPr>
        <w:jc w:val="center"/>
        <w:rPr>
          <w:rFonts w:cs="Arial"/>
          <w:b/>
          <w:color w:val="000000"/>
          <w:sz w:val="20"/>
        </w:rPr>
        <w:sectPr w:rsidR="00707207" w:rsidSect="009B1229">
          <w:pgSz w:w="11906" w:h="16838"/>
          <w:pgMar w:top="1134" w:right="850" w:bottom="1134" w:left="1701" w:header="708" w:footer="708" w:gutter="0"/>
          <w:cols w:space="708"/>
          <w:docGrid w:linePitch="360"/>
        </w:sectPr>
      </w:pPr>
    </w:p>
    <w:p w:rsidR="00707207" w:rsidRDefault="00707207" w:rsidP="00707207">
      <w:pPr>
        <w:pStyle w:val="2"/>
        <w:rPr>
          <w:rFonts w:ascii="Arial" w:hAnsi="Arial" w:cs="Arial"/>
          <w:sz w:val="20"/>
          <w:szCs w:val="20"/>
        </w:rPr>
      </w:pPr>
      <w:bookmarkStart w:id="7" w:name="_Toc2349387"/>
      <w:r>
        <w:rPr>
          <w:rFonts w:ascii="Arial" w:hAnsi="Arial" w:cs="Arial"/>
          <w:sz w:val="20"/>
          <w:szCs w:val="20"/>
        </w:rPr>
        <w:lastRenderedPageBreak/>
        <w:t>Таблица 5</w:t>
      </w:r>
      <w:r w:rsidRPr="008A782A">
        <w:rPr>
          <w:rFonts w:ascii="Arial" w:hAnsi="Arial" w:cs="Arial"/>
          <w:sz w:val="20"/>
          <w:szCs w:val="20"/>
        </w:rPr>
        <w:t>.</w:t>
      </w:r>
      <w:r w:rsidRPr="008A782A">
        <w:rPr>
          <w:rStyle w:val="a6"/>
          <w:rFonts w:ascii="Arial" w:hAnsi="Arial" w:cs="Arial"/>
          <w:color w:val="000000"/>
          <w:sz w:val="20"/>
          <w:szCs w:val="20"/>
        </w:rPr>
        <w:footnoteReference w:id="1"/>
      </w:r>
      <w:r w:rsidRPr="008A782A">
        <w:rPr>
          <w:rFonts w:ascii="Arial" w:hAnsi="Arial" w:cs="Arial"/>
          <w:sz w:val="20"/>
          <w:szCs w:val="20"/>
        </w:rPr>
        <w:t xml:space="preserve"> Средняя удельная цена предложения 1 кв. м. по районам г. Владивостока</w:t>
      </w:r>
      <w:bookmarkEnd w:id="7"/>
    </w:p>
    <w:tbl>
      <w:tblPr>
        <w:tblW w:w="8933" w:type="dxa"/>
        <w:tblInd w:w="-27" w:type="dxa"/>
        <w:tblLook w:val="04A0" w:firstRow="1" w:lastRow="0" w:firstColumn="1" w:lastColumn="0" w:noHBand="0" w:noVBand="1"/>
      </w:tblPr>
      <w:tblGrid>
        <w:gridCol w:w="2262"/>
        <w:gridCol w:w="939"/>
        <w:gridCol w:w="1167"/>
        <w:gridCol w:w="1026"/>
        <w:gridCol w:w="679"/>
        <w:gridCol w:w="1720"/>
        <w:gridCol w:w="1140"/>
      </w:tblGrid>
      <w:tr w:rsidR="00707207" w:rsidRPr="00206079" w:rsidTr="00707207">
        <w:trPr>
          <w:trHeight w:val="130"/>
        </w:trPr>
        <w:tc>
          <w:tcPr>
            <w:tcW w:w="226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Районы города</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707207" w:rsidRPr="00206079" w:rsidRDefault="00707207" w:rsidP="00707207">
            <w:pPr>
              <w:jc w:val="center"/>
              <w:rPr>
                <w:rFonts w:cs="Arial"/>
                <w:color w:val="000000"/>
                <w:sz w:val="20"/>
              </w:rPr>
            </w:pPr>
            <w:r w:rsidRPr="00206079">
              <w:rPr>
                <w:rFonts w:cs="Arial"/>
                <w:color w:val="000000"/>
                <w:sz w:val="20"/>
              </w:rPr>
              <w:t>Мин</w:t>
            </w:r>
          </w:p>
        </w:tc>
        <w:tc>
          <w:tcPr>
            <w:tcW w:w="1167" w:type="dxa"/>
            <w:tcBorders>
              <w:top w:val="single" w:sz="4" w:space="0" w:color="auto"/>
              <w:left w:val="nil"/>
              <w:bottom w:val="single" w:sz="4" w:space="0" w:color="auto"/>
              <w:right w:val="single" w:sz="4" w:space="0" w:color="auto"/>
            </w:tcBorders>
            <w:shd w:val="clear" w:color="000000" w:fill="D8E4BC"/>
            <w:noWrap/>
            <w:vAlign w:val="center"/>
            <w:hideMark/>
          </w:tcPr>
          <w:p w:rsidR="00707207" w:rsidRPr="00206079" w:rsidRDefault="00707207" w:rsidP="00707207">
            <w:pPr>
              <w:jc w:val="center"/>
              <w:rPr>
                <w:rFonts w:cs="Arial"/>
                <w:b/>
                <w:bCs/>
                <w:color w:val="000000"/>
                <w:sz w:val="20"/>
              </w:rPr>
            </w:pPr>
            <w:r w:rsidRPr="00206079">
              <w:rPr>
                <w:rFonts w:cs="Arial"/>
                <w:b/>
                <w:bCs/>
                <w:color w:val="000000"/>
                <w:sz w:val="20"/>
              </w:rPr>
              <w:t>Средняя</w:t>
            </w:r>
            <w:r w:rsidRPr="00206079">
              <w:rPr>
                <w:rFonts w:cs="Arial"/>
                <w:b/>
                <w:bCs/>
                <w:color w:val="000000"/>
                <w:sz w:val="20"/>
              </w:rPr>
              <w:br/>
              <w:t>руб./кв.м.</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707207" w:rsidRPr="00206079" w:rsidRDefault="00707207" w:rsidP="00707207">
            <w:pPr>
              <w:jc w:val="center"/>
              <w:rPr>
                <w:rFonts w:cs="Arial"/>
                <w:color w:val="000000"/>
                <w:sz w:val="20"/>
              </w:rPr>
            </w:pPr>
            <w:r w:rsidRPr="00206079">
              <w:rPr>
                <w:rFonts w:cs="Arial"/>
                <w:color w:val="000000"/>
                <w:sz w:val="20"/>
              </w:rPr>
              <w:t>Макс</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07207" w:rsidRPr="00206079" w:rsidRDefault="00707207" w:rsidP="00707207">
            <w:pPr>
              <w:jc w:val="center"/>
              <w:rPr>
                <w:rFonts w:cs="Arial"/>
                <w:color w:val="000000"/>
                <w:sz w:val="20"/>
              </w:rPr>
            </w:pPr>
            <w:r w:rsidRPr="00206079">
              <w:rPr>
                <w:rFonts w:cs="Arial"/>
                <w:color w:val="000000"/>
                <w:sz w:val="20"/>
              </w:rPr>
              <w:t>Штук</w:t>
            </w:r>
          </w:p>
        </w:tc>
        <w:tc>
          <w:tcPr>
            <w:tcW w:w="1720" w:type="dxa"/>
            <w:tcBorders>
              <w:top w:val="single" w:sz="4" w:space="0" w:color="auto"/>
              <w:left w:val="nil"/>
              <w:bottom w:val="single" w:sz="4" w:space="0" w:color="auto"/>
              <w:right w:val="single" w:sz="4" w:space="0" w:color="auto"/>
            </w:tcBorders>
            <w:shd w:val="clear" w:color="000000" w:fill="D8E4BC"/>
            <w:noWrap/>
            <w:vAlign w:val="center"/>
            <w:hideMark/>
          </w:tcPr>
          <w:p w:rsidR="00707207" w:rsidRPr="00206079" w:rsidRDefault="00707207" w:rsidP="00707207">
            <w:pPr>
              <w:jc w:val="center"/>
              <w:rPr>
                <w:rFonts w:cs="Arial"/>
                <w:b/>
                <w:bCs/>
                <w:color w:val="000000"/>
                <w:sz w:val="20"/>
              </w:rPr>
            </w:pPr>
            <w:r w:rsidRPr="00206079">
              <w:rPr>
                <w:rFonts w:cs="Arial"/>
                <w:b/>
                <w:bCs/>
                <w:color w:val="000000"/>
                <w:sz w:val="20"/>
              </w:rPr>
              <w:t>Средняя</w:t>
            </w:r>
            <w:r w:rsidRPr="00206079">
              <w:rPr>
                <w:rFonts w:cs="Arial"/>
                <w:b/>
                <w:bCs/>
                <w:color w:val="000000"/>
                <w:sz w:val="20"/>
              </w:rPr>
              <w:br/>
              <w:t>руб./кв.м.</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07207" w:rsidRPr="00206079" w:rsidRDefault="00707207" w:rsidP="00707207">
            <w:pPr>
              <w:jc w:val="right"/>
              <w:rPr>
                <w:rFonts w:cs="Arial"/>
                <w:color w:val="000000"/>
                <w:sz w:val="20"/>
              </w:rPr>
            </w:pPr>
            <w:r w:rsidRPr="00206079">
              <w:rPr>
                <w:rFonts w:cs="Arial"/>
                <w:color w:val="000000"/>
                <w:sz w:val="20"/>
              </w:rPr>
              <w:t xml:space="preserve">% </w:t>
            </w:r>
            <w:proofErr w:type="spellStart"/>
            <w:r w:rsidRPr="00206079">
              <w:rPr>
                <w:rFonts w:cs="Arial"/>
                <w:color w:val="000000"/>
                <w:sz w:val="20"/>
              </w:rPr>
              <w:t>изм</w:t>
            </w:r>
            <w:proofErr w:type="spellEnd"/>
          </w:p>
        </w:tc>
      </w:tr>
      <w:tr w:rsidR="00707207" w:rsidRPr="00206079" w:rsidTr="00707207">
        <w:trPr>
          <w:trHeight w:val="130"/>
        </w:trPr>
        <w:tc>
          <w:tcPr>
            <w:tcW w:w="226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64, 71 микрорайоны</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60 220</w:t>
            </w:r>
          </w:p>
        </w:tc>
        <w:tc>
          <w:tcPr>
            <w:tcW w:w="1167" w:type="dxa"/>
            <w:tcBorders>
              <w:top w:val="single" w:sz="4" w:space="0" w:color="auto"/>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98 726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170 000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208</w:t>
            </w:r>
          </w:p>
        </w:tc>
        <w:tc>
          <w:tcPr>
            <w:tcW w:w="1720" w:type="dxa"/>
            <w:tcBorders>
              <w:top w:val="single" w:sz="4" w:space="0" w:color="auto"/>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94 838</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4,10%</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Баляева</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65 246</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105 885</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158 333</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128</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98 227</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7,80%</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БАМ</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50 794</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110 553</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140 000</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91</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104 229</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6,07%</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Борисенко</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42 361</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97 529</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138 889</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149</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93 422</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4,40%</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Вторая речка</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42 857</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113 422</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196 857</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264</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106 558</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6,44%</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Гайдамак</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74 490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104 611</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137 500</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26</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99 985</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4,63%</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Заря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30 172</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105 197</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182 051</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38</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95 890</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9,71%</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Луговая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76 543</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105 319</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162 308</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91</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102 835</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2,42%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Некрасовская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70 833</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130 007</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191 875</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95</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123 201</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5,52%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о. Русский</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31 429</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61 113</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95 833</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21</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62 088</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-1,57%</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Океанская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25 000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93 790</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241 667</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65</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98 188</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-4,48%</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Патрокл</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47 826</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108 065</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162 564</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27</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111 146</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-2,77%</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Первая речка</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59 063</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134 433</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213 992</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127</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124 475</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8,00%</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Пригород</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30 172</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77 023</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114 286</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26</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80 046</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-3,78%</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Садгород</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33 824</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89 360</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153 846</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32</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88 073</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1,46%</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Седанка</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50 778</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108 307</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178 261</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53</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105 332</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2,82%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Снеговая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68 269</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93 570</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114 706</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23</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85 369</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9,61%</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Снеговая падь</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60 150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104 541</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164 286</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72</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102 134</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2,36%</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Столетие</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75 000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114 044</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168 485</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154</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110 569</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3,14%</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Тихая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57 895</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99 635</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161 905</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97</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98 963</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0,68%</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Толстого (Буссе)</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70 588</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107 116</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120 896</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13</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102 097</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4,92%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Третья рабочая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54 348</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119 218</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185 897</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121</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113 007</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5,50%</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Трудовая</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52 747</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94 255</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120 690</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46</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87 664</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7,52%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Фадеева</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40 741</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97 678</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142 857</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22</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96 082</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1,66%</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Центр</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43 750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142 280</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374 150</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259</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137 291</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3,63%</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Чуркин</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59 211</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103 338</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160 714</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286</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100 697</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2,62%</w:t>
            </w:r>
          </w:p>
        </w:tc>
      </w:tr>
      <w:tr w:rsidR="00707207" w:rsidRPr="00206079" w:rsidTr="00707207">
        <w:trPr>
          <w:trHeight w:val="130"/>
        </w:trPr>
        <w:tc>
          <w:tcPr>
            <w:tcW w:w="2262" w:type="dxa"/>
            <w:tcBorders>
              <w:top w:val="nil"/>
              <w:left w:val="single" w:sz="4" w:space="0" w:color="auto"/>
              <w:bottom w:val="single" w:sz="4" w:space="0" w:color="auto"/>
              <w:right w:val="single" w:sz="4" w:space="0" w:color="auto"/>
            </w:tcBorders>
            <w:shd w:val="clear" w:color="000000" w:fill="D8E4BC"/>
            <w:noWrap/>
            <w:vAlign w:val="bottom"/>
            <w:hideMark/>
          </w:tcPr>
          <w:p w:rsidR="00707207" w:rsidRPr="00206079" w:rsidRDefault="00707207" w:rsidP="00707207">
            <w:pPr>
              <w:ind w:firstLineChars="100" w:firstLine="201"/>
              <w:rPr>
                <w:rFonts w:cs="Arial"/>
                <w:b/>
                <w:bCs/>
                <w:color w:val="000000"/>
                <w:sz w:val="20"/>
              </w:rPr>
            </w:pPr>
            <w:r w:rsidRPr="00206079">
              <w:rPr>
                <w:rFonts w:cs="Arial"/>
                <w:b/>
                <w:bCs/>
                <w:color w:val="000000"/>
                <w:sz w:val="20"/>
              </w:rPr>
              <w:t>Эгершельд</w:t>
            </w:r>
          </w:p>
        </w:tc>
        <w:tc>
          <w:tcPr>
            <w:tcW w:w="93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50 000</w:t>
            </w:r>
          </w:p>
        </w:tc>
        <w:tc>
          <w:tcPr>
            <w:tcW w:w="1167"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128 464</w:t>
            </w:r>
          </w:p>
        </w:tc>
        <w:tc>
          <w:tcPr>
            <w:tcW w:w="1026"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281 818</w:t>
            </w:r>
          </w:p>
        </w:tc>
        <w:tc>
          <w:tcPr>
            <w:tcW w:w="679" w:type="dxa"/>
            <w:tcBorders>
              <w:top w:val="nil"/>
              <w:left w:val="nil"/>
              <w:bottom w:val="single" w:sz="4" w:space="0" w:color="auto"/>
              <w:right w:val="single" w:sz="4" w:space="0" w:color="auto"/>
            </w:tcBorders>
            <w:shd w:val="clear" w:color="auto" w:fill="auto"/>
            <w:noWrap/>
            <w:vAlign w:val="center"/>
            <w:hideMark/>
          </w:tcPr>
          <w:p w:rsidR="00707207" w:rsidRDefault="00707207" w:rsidP="00707207">
            <w:pPr>
              <w:jc w:val="center"/>
              <w:rPr>
                <w:rFonts w:cs="Arial"/>
                <w:color w:val="000000"/>
                <w:sz w:val="20"/>
              </w:rPr>
            </w:pPr>
            <w:r>
              <w:rPr>
                <w:rFonts w:cs="Arial"/>
                <w:color w:val="000000"/>
                <w:sz w:val="20"/>
              </w:rPr>
              <w:t>171</w:t>
            </w:r>
          </w:p>
        </w:tc>
        <w:tc>
          <w:tcPr>
            <w:tcW w:w="1720" w:type="dxa"/>
            <w:tcBorders>
              <w:top w:val="nil"/>
              <w:left w:val="nil"/>
              <w:bottom w:val="single" w:sz="4" w:space="0" w:color="auto"/>
              <w:right w:val="single" w:sz="4" w:space="0" w:color="auto"/>
            </w:tcBorders>
            <w:shd w:val="clear" w:color="000000" w:fill="D8E4BC"/>
            <w:noWrap/>
            <w:vAlign w:val="center"/>
            <w:hideMark/>
          </w:tcPr>
          <w:p w:rsidR="00707207" w:rsidRDefault="00707207" w:rsidP="00707207">
            <w:pPr>
              <w:jc w:val="center"/>
              <w:rPr>
                <w:rFonts w:cs="Arial"/>
                <w:b/>
                <w:bCs/>
                <w:color w:val="000000"/>
                <w:sz w:val="20"/>
              </w:rPr>
            </w:pPr>
            <w:r>
              <w:rPr>
                <w:rFonts w:cs="Arial"/>
                <w:b/>
                <w:bCs/>
                <w:color w:val="000000"/>
                <w:sz w:val="20"/>
              </w:rPr>
              <w:t>120 452</w:t>
            </w:r>
          </w:p>
        </w:tc>
        <w:tc>
          <w:tcPr>
            <w:tcW w:w="1140" w:type="dxa"/>
            <w:tcBorders>
              <w:top w:val="nil"/>
              <w:left w:val="nil"/>
              <w:bottom w:val="single" w:sz="4" w:space="0" w:color="auto"/>
              <w:right w:val="single" w:sz="4" w:space="0" w:color="auto"/>
            </w:tcBorders>
            <w:shd w:val="clear" w:color="auto" w:fill="auto"/>
            <w:noWrap/>
            <w:vAlign w:val="bottom"/>
            <w:hideMark/>
          </w:tcPr>
          <w:p w:rsidR="00707207" w:rsidRDefault="00707207" w:rsidP="00707207">
            <w:pPr>
              <w:jc w:val="right"/>
              <w:rPr>
                <w:rFonts w:ascii="Calibri" w:hAnsi="Calibri" w:cs="Calibri"/>
                <w:color w:val="000000"/>
                <w:sz w:val="22"/>
                <w:szCs w:val="22"/>
              </w:rPr>
            </w:pPr>
            <w:r>
              <w:rPr>
                <w:rFonts w:ascii="Calibri" w:hAnsi="Calibri" w:cs="Calibri"/>
                <w:color w:val="000000"/>
                <w:sz w:val="22"/>
                <w:szCs w:val="22"/>
              </w:rPr>
              <w:t>6,65%</w:t>
            </w:r>
          </w:p>
        </w:tc>
      </w:tr>
    </w:tbl>
    <w:p w:rsidR="00707207" w:rsidRDefault="00707207" w:rsidP="00707207"/>
    <w:p w:rsidR="00707207" w:rsidRPr="00707207" w:rsidRDefault="00707207" w:rsidP="00707207"/>
    <w:p w:rsidR="00694876" w:rsidRDefault="00694876" w:rsidP="00694876">
      <w:pPr>
        <w:pStyle w:val="2"/>
        <w:rPr>
          <w:rFonts w:ascii="Arial" w:hAnsi="Arial" w:cs="Arial"/>
          <w:sz w:val="20"/>
          <w:szCs w:val="20"/>
        </w:rPr>
        <w:sectPr w:rsidR="00694876" w:rsidSect="00EE0B92">
          <w:pgSz w:w="11906" w:h="16838"/>
          <w:pgMar w:top="1134" w:right="850" w:bottom="1134" w:left="1701" w:header="708" w:footer="708" w:gutter="0"/>
          <w:cols w:space="708"/>
          <w:docGrid w:linePitch="360"/>
        </w:sectPr>
      </w:pPr>
      <w:bookmarkStart w:id="8" w:name="_Toc517610834"/>
    </w:p>
    <w:p w:rsidR="00694876" w:rsidRDefault="00694876" w:rsidP="00694876">
      <w:pPr>
        <w:pStyle w:val="2"/>
        <w:rPr>
          <w:rFonts w:ascii="Arial" w:hAnsi="Arial" w:cs="Arial"/>
          <w:sz w:val="20"/>
          <w:szCs w:val="20"/>
        </w:rPr>
      </w:pPr>
      <w:bookmarkStart w:id="9" w:name="_Toc2349388"/>
      <w:r>
        <w:rPr>
          <w:rFonts w:ascii="Arial" w:hAnsi="Arial" w:cs="Arial"/>
          <w:sz w:val="20"/>
          <w:szCs w:val="20"/>
        </w:rPr>
        <w:lastRenderedPageBreak/>
        <w:t xml:space="preserve">Таблица </w:t>
      </w:r>
      <w:r w:rsidRPr="00364FC1">
        <w:rPr>
          <w:rFonts w:ascii="Arial" w:hAnsi="Arial" w:cs="Arial"/>
          <w:sz w:val="20"/>
          <w:szCs w:val="20"/>
        </w:rPr>
        <w:t>6</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Pr>
          <w:rFonts w:ascii="Arial" w:hAnsi="Arial" w:cs="Arial"/>
          <w:sz w:val="20"/>
          <w:szCs w:val="20"/>
        </w:rPr>
        <w:t>У</w:t>
      </w:r>
      <w:r w:rsidRPr="008A782A">
        <w:rPr>
          <w:rFonts w:ascii="Arial" w:hAnsi="Arial" w:cs="Arial"/>
          <w:sz w:val="20"/>
          <w:szCs w:val="20"/>
        </w:rPr>
        <w:t xml:space="preserve">дельная цена предложения 1 кв. м. по районам </w:t>
      </w:r>
      <w:r>
        <w:rPr>
          <w:rFonts w:ascii="Arial" w:hAnsi="Arial" w:cs="Arial"/>
          <w:sz w:val="20"/>
          <w:szCs w:val="20"/>
        </w:rPr>
        <w:t xml:space="preserve">и по типам квартир, </w:t>
      </w:r>
      <w:r w:rsidRPr="008A782A">
        <w:rPr>
          <w:rFonts w:ascii="Arial" w:hAnsi="Arial" w:cs="Arial"/>
          <w:sz w:val="20"/>
          <w:szCs w:val="20"/>
        </w:rPr>
        <w:t>г. Владивостока</w:t>
      </w:r>
      <w:r>
        <w:rPr>
          <w:rFonts w:ascii="Arial" w:hAnsi="Arial" w:cs="Arial"/>
          <w:sz w:val="20"/>
          <w:szCs w:val="20"/>
        </w:rPr>
        <w:t xml:space="preserve"> (минимальная, средняя, максимальная)</w:t>
      </w:r>
      <w:bookmarkEnd w:id="9"/>
    </w:p>
    <w:tbl>
      <w:tblPr>
        <w:tblW w:w="16160" w:type="dxa"/>
        <w:tblInd w:w="-743" w:type="dxa"/>
        <w:tblLook w:val="04A0" w:firstRow="1" w:lastRow="0" w:firstColumn="1" w:lastColumn="0" w:noHBand="0" w:noVBand="1"/>
      </w:tblPr>
      <w:tblGrid>
        <w:gridCol w:w="1276"/>
        <w:gridCol w:w="753"/>
        <w:gridCol w:w="829"/>
        <w:gridCol w:w="850"/>
        <w:gridCol w:w="878"/>
        <w:gridCol w:w="823"/>
        <w:gridCol w:w="851"/>
        <w:gridCol w:w="828"/>
        <w:gridCol w:w="834"/>
        <w:gridCol w:w="850"/>
        <w:gridCol w:w="851"/>
        <w:gridCol w:w="850"/>
        <w:gridCol w:w="851"/>
        <w:gridCol w:w="726"/>
        <w:gridCol w:w="850"/>
        <w:gridCol w:w="726"/>
        <w:gridCol w:w="851"/>
        <w:gridCol w:w="832"/>
        <w:gridCol w:w="851"/>
      </w:tblGrid>
      <w:tr w:rsidR="0075593F" w:rsidRPr="00117ADA" w:rsidTr="00707207">
        <w:trPr>
          <w:trHeight w:val="57"/>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 </w:t>
            </w:r>
          </w:p>
        </w:tc>
        <w:tc>
          <w:tcPr>
            <w:tcW w:w="2432"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1-комнатная</w:t>
            </w:r>
          </w:p>
        </w:tc>
        <w:tc>
          <w:tcPr>
            <w:tcW w:w="2552"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2-комнатная </w:t>
            </w:r>
          </w:p>
        </w:tc>
        <w:tc>
          <w:tcPr>
            <w:tcW w:w="2512"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3-комнатная</w:t>
            </w:r>
          </w:p>
        </w:tc>
        <w:tc>
          <w:tcPr>
            <w:tcW w:w="2552"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4-комнатная и более</w:t>
            </w:r>
          </w:p>
        </w:tc>
        <w:tc>
          <w:tcPr>
            <w:tcW w:w="2302"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Гостинка</w:t>
            </w:r>
          </w:p>
        </w:tc>
        <w:tc>
          <w:tcPr>
            <w:tcW w:w="2534"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Комната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Район</w:t>
            </w:r>
          </w:p>
        </w:tc>
        <w:tc>
          <w:tcPr>
            <w:tcW w:w="75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29"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c>
          <w:tcPr>
            <w:tcW w:w="87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2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c>
          <w:tcPr>
            <w:tcW w:w="82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34"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85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5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c>
          <w:tcPr>
            <w:tcW w:w="7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5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726"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Мин</w:t>
            </w:r>
          </w:p>
        </w:tc>
        <w:tc>
          <w:tcPr>
            <w:tcW w:w="83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Ср</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75593F" w:rsidRPr="00117ADA" w:rsidRDefault="0075593F" w:rsidP="00707207">
            <w:pPr>
              <w:jc w:val="center"/>
              <w:rPr>
                <w:rFonts w:cs="Arial"/>
                <w:b/>
                <w:bCs/>
                <w:color w:val="000000"/>
                <w:sz w:val="14"/>
                <w:szCs w:val="14"/>
              </w:rPr>
            </w:pPr>
            <w:r w:rsidRPr="00117ADA">
              <w:rPr>
                <w:rFonts w:cs="Arial"/>
                <w:b/>
                <w:bCs/>
                <w:color w:val="000000"/>
                <w:sz w:val="14"/>
                <w:szCs w:val="14"/>
              </w:rPr>
              <w:t>Макс</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Эгершельд</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86 816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126 436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233 333</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66 250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125 987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281 818</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86 667</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134 749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259 375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64 356</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135 817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270 482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111 111</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111 111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111 111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50 000</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101 274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135 294</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Центр</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96 667</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150 754</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213 098</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87 500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138 045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220 930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43 750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145 206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374 150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47 778</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140 811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281 081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142 105</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169 386</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195 000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105 882</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140 850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166 667</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Первая речка</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59 063</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140 111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211 765</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105 682</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132 850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173 077</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87 500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133 471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213 992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73 596</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131 822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210 811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102 174</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113 587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125 000</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Третья рабочая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83 621</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133 862</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171 622</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54 348</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122 191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166 667</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60 656</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114 731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185 897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67 133</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101 254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150 685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93 750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125 396</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145 652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81 579</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106 875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146 875</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Столетие</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99 464</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132 200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160 645</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75 000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111 001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155 714</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77 358</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108 137</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156 863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77 273</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110 513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168 485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117 500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138 385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166 667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76 000</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110 450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149 643</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Некрасовская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80 556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131 879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151 515</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70 833</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134 131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187 500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95 192</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126 552</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188 000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91 772</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113 135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142 169</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105 882</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140 615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182 143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77 500</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131 854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191 875</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БАМ</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76 923</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117 886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140 000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50 794</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109 888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139 167</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71 250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106 549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138 983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83 333</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99 351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121 111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106 633</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111 872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118 636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Седанка</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70 588</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111 818</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138 889</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65 254</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106 686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178 261</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50 778</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106 293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166 154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91 497</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113 301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146 337</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Толстого (Буссе)</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70 588</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137 783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171 429</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104 167</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150 693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258 333</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93 929</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125 658</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142 738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117 105</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135 334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156 780</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98 077</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98 077</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98 077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Океанская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25 000</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79 530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148 837</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31 758</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93 505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169 492</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27 000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95 703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142 857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71 739</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138 862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241 667</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43 125</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78 061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94 118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109 091</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109 091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109 091</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Вторая речка</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63 095</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121 178</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191 176</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58 333</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113 311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174 444</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58 824</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107 936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196 857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42 857</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102 856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134 615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106 250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135 203</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185 714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87 368</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102 420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130 000</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Луговая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79 706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111 867</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154 333</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77 971</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109 968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162 308</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76 543</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98 721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132 911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80 000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85 954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92 169</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135 714</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135 714</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135 714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92 857</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96 429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100 000</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Фадеева</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99 063</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104 106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106 250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40 741</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84 796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101 860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87 719</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87 719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87 719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73 611</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73 611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73 611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105 000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115 893</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126 786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89 286</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106 419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142 857</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Гайдамак</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104 286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119 171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130 000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80 769</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110 523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134 615</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75 704</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101 791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137 500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74 490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100 727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134 132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78 947</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80 724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82 500</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Садгород</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78 125</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105 259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145 000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33 824</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94 641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153 846</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59 561</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80 786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107 391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69 721</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69 721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69 721</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46 000</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46 438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46 875</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Чуркин</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70 452</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109 283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152 150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59 574</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103 329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146 098</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60 000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93 399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131 481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65 217</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85 562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130 000</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75 000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122 300</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160 714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59 211</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93 998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120 000</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Борисенко</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69 737</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101 690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129 310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42 361</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98 088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127 551</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57 317</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90 406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134 615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62 209</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77 744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92 647</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73 750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106 008</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138 889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63 542</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99 827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133 333</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Снеговая падь</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63 703</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107 180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139 474</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69 904</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104 723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137 879</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60 150</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98 873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164 286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90 110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94 677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98 824</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117 289</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122 495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125 460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Баляева</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79 688</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107 640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139 394</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74 242</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97 029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146 667</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65 246</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89 951</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116 650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70 529</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80 063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89 412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100 000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121 854</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158 333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92 857</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123 394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153 571</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64, 71 микрорайоны</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63 820</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108 024</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170 000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60 220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101 410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141 250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68 296</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91 355</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124 194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71 264</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84 569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106 667</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98 214</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111 269</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128 571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91 667</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91 667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91 667</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Патрокл</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84 244</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110 474</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150 000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84 507</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115 004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162 564</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55 175</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109 854</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152 065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47 826</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47 826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47 826</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Тихая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98 485</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118 826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164 286</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82 609</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99 328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113 725</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66 667</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82 617</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102 899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57 895</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66 810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75 532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86 111</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112 896</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138 889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58 974</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81 013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97 222</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Трудовая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96 970</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108 947</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120 690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75 610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95 973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120 455</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52 747</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87 403</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100 000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81 538</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81 538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81 538</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74 583</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88 413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104 545</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Заря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100 906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116 779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182 051</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92 550</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109 732</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130 769</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39 216</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63 886</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97 368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30 172</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74 809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147 115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Трудовое</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50 000</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81 484</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105 000</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38 462</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74 981</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100 000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63 433</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84 945</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103 636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82 500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96 642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117 647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73 077</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84 365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95 652</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Снеговая</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77 500</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100 385</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113 793</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71 429</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90 087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105 500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68 269</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69 135</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70 000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70 968</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70 968</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70 968</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81 250</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95 962</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114 706</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107 273</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108 770</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111 765</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о. Русский</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42 105</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64 687</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76 167</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31 429</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59 704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95 833</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69 136</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70 520</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72 727</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49 524</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49 524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49 524</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42 105</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42 105</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42 105</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r w:rsidR="0075593F" w:rsidRPr="00117ADA" w:rsidTr="00707207">
        <w:trPr>
          <w:trHeight w:val="57"/>
        </w:trPr>
        <w:tc>
          <w:tcPr>
            <w:tcW w:w="1276" w:type="dxa"/>
            <w:tcBorders>
              <w:top w:val="nil"/>
              <w:left w:val="single" w:sz="4" w:space="0" w:color="auto"/>
              <w:bottom w:val="single" w:sz="4" w:space="0" w:color="auto"/>
              <w:right w:val="single" w:sz="4" w:space="0" w:color="auto"/>
            </w:tcBorders>
            <w:shd w:val="clear" w:color="000000" w:fill="D8E4BC"/>
            <w:noWrap/>
            <w:vAlign w:val="center"/>
            <w:hideMark/>
          </w:tcPr>
          <w:p w:rsidR="0075593F" w:rsidRPr="00B46B55" w:rsidRDefault="0075593F" w:rsidP="00707207">
            <w:pPr>
              <w:rPr>
                <w:rFonts w:cs="Arial"/>
                <w:b/>
                <w:bCs/>
                <w:color w:val="000000"/>
                <w:sz w:val="14"/>
                <w:szCs w:val="14"/>
              </w:rPr>
            </w:pPr>
            <w:r w:rsidRPr="00B46B55">
              <w:rPr>
                <w:rFonts w:cs="Arial"/>
                <w:b/>
                <w:bCs/>
                <w:color w:val="000000"/>
                <w:sz w:val="14"/>
                <w:szCs w:val="14"/>
              </w:rPr>
              <w:t>Пригород</w:t>
            </w:r>
          </w:p>
        </w:tc>
        <w:tc>
          <w:tcPr>
            <w:tcW w:w="753"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60 976</w:t>
            </w:r>
          </w:p>
        </w:tc>
        <w:tc>
          <w:tcPr>
            <w:tcW w:w="829"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83 755</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114 286</w:t>
            </w:r>
          </w:p>
        </w:tc>
        <w:tc>
          <w:tcPr>
            <w:tcW w:w="87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69 388</w:t>
            </w:r>
          </w:p>
        </w:tc>
        <w:tc>
          <w:tcPr>
            <w:tcW w:w="823"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78 713</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91 750</w:t>
            </w:r>
          </w:p>
        </w:tc>
        <w:tc>
          <w:tcPr>
            <w:tcW w:w="828"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30 172</w:t>
            </w:r>
          </w:p>
        </w:tc>
        <w:tc>
          <w:tcPr>
            <w:tcW w:w="834"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72 869</w:t>
            </w:r>
          </w:p>
        </w:tc>
        <w:tc>
          <w:tcPr>
            <w:tcW w:w="850"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86 154</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62 092</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63 189</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64 286</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0"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726"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32" w:type="dxa"/>
            <w:tcBorders>
              <w:top w:val="nil"/>
              <w:left w:val="nil"/>
              <w:bottom w:val="single" w:sz="4" w:space="0" w:color="auto"/>
              <w:right w:val="single" w:sz="4" w:space="0" w:color="auto"/>
            </w:tcBorders>
            <w:shd w:val="clear" w:color="000000" w:fill="9BBB59"/>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75593F" w:rsidRPr="00117ADA" w:rsidRDefault="0075593F" w:rsidP="00707207">
            <w:pPr>
              <w:jc w:val="center"/>
              <w:rPr>
                <w:rFonts w:cs="Arial"/>
                <w:color w:val="000000"/>
                <w:sz w:val="14"/>
                <w:szCs w:val="14"/>
              </w:rPr>
            </w:pPr>
            <w:r w:rsidRPr="00117ADA">
              <w:rPr>
                <w:rFonts w:cs="Arial"/>
                <w:color w:val="000000"/>
                <w:sz w:val="14"/>
                <w:szCs w:val="14"/>
              </w:rPr>
              <w:t> </w:t>
            </w:r>
          </w:p>
        </w:tc>
      </w:tr>
    </w:tbl>
    <w:p w:rsidR="0075593F" w:rsidRDefault="0075593F" w:rsidP="0075593F"/>
    <w:p w:rsidR="0075593F" w:rsidRPr="00A113DB" w:rsidRDefault="0075593F" w:rsidP="00694876"/>
    <w:p w:rsidR="00694876" w:rsidRDefault="00694876" w:rsidP="00694876">
      <w:pPr>
        <w:pStyle w:val="2"/>
        <w:rPr>
          <w:rFonts w:ascii="Arial" w:hAnsi="Arial" w:cs="Arial"/>
          <w:snapToGrid w:val="0"/>
          <w:sz w:val="20"/>
          <w:szCs w:val="20"/>
        </w:rPr>
        <w:sectPr w:rsidR="00694876" w:rsidSect="00707207">
          <w:pgSz w:w="16838" w:h="11906" w:orient="landscape"/>
          <w:pgMar w:top="850" w:right="1134" w:bottom="1701" w:left="1134" w:header="708" w:footer="708" w:gutter="0"/>
          <w:cols w:space="708"/>
          <w:docGrid w:linePitch="360"/>
        </w:sectPr>
      </w:pPr>
    </w:p>
    <w:p w:rsidR="00694876" w:rsidRDefault="00694876" w:rsidP="00694876">
      <w:pPr>
        <w:pStyle w:val="2"/>
        <w:rPr>
          <w:rFonts w:ascii="Arial" w:hAnsi="Arial" w:cs="Arial"/>
          <w:snapToGrid w:val="0"/>
          <w:sz w:val="20"/>
          <w:szCs w:val="20"/>
        </w:rPr>
      </w:pPr>
      <w:bookmarkStart w:id="10" w:name="_Toc2349389"/>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8"/>
      <w:bookmarkEnd w:id="10"/>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75593F">
        <w:rPr>
          <w:rFonts w:cs="Arial"/>
          <w:snapToGrid w:val="0"/>
          <w:sz w:val="16"/>
          <w:szCs w:val="16"/>
        </w:rPr>
        <w:t>Феврал</w:t>
      </w:r>
      <w:r w:rsidR="00FF274F">
        <w:rPr>
          <w:rFonts w:cs="Arial"/>
          <w:snapToGrid w:val="0"/>
          <w:sz w:val="16"/>
          <w:szCs w:val="16"/>
        </w:rPr>
        <w:t>ь</w:t>
      </w:r>
      <w:r>
        <w:rPr>
          <w:rFonts w:cs="Arial"/>
          <w:bCs/>
          <w:sz w:val="16"/>
          <w:szCs w:val="16"/>
          <w:shd w:val="clear" w:color="auto" w:fill="FFFFFF"/>
        </w:rPr>
        <w:t xml:space="preserve"> 201</w:t>
      </w:r>
      <w:r w:rsidR="0075593F">
        <w:rPr>
          <w:rFonts w:cs="Arial"/>
          <w:bCs/>
          <w:sz w:val="16"/>
          <w:szCs w:val="16"/>
          <w:shd w:val="clear" w:color="auto" w:fill="FFFFFF"/>
        </w:rPr>
        <w:t xml:space="preserve">9 </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w:t>
      </w:r>
      <w:r w:rsidR="00077B1D">
        <w:rPr>
          <w:rFonts w:cs="Arial"/>
          <w:sz w:val="16"/>
          <w:szCs w:val="16"/>
        </w:rPr>
        <w:t>сертифициро</w:t>
      </w:r>
      <w:r>
        <w:rPr>
          <w:rFonts w:cs="Arial"/>
          <w:sz w:val="16"/>
          <w:szCs w:val="16"/>
        </w:rPr>
        <w:t>ванный аналитик</w:t>
      </w:r>
      <w:r w:rsidR="00077B1D">
        <w:rPr>
          <w:rFonts w:cs="Arial"/>
          <w:sz w:val="16"/>
          <w:szCs w:val="16"/>
        </w:rPr>
        <w:t>-консультант</w:t>
      </w:r>
      <w:r>
        <w:rPr>
          <w:rFonts w:cs="Arial"/>
          <w:sz w:val="16"/>
          <w:szCs w:val="16"/>
        </w:rPr>
        <w:t xml:space="preserve"> рынка недвижимости (</w:t>
      </w:r>
      <w:r w:rsidR="00A72C20">
        <w:rPr>
          <w:rFonts w:cs="Arial"/>
          <w:sz w:val="16"/>
          <w:szCs w:val="16"/>
        </w:rPr>
        <w:t>САКРН</w:t>
      </w:r>
      <w:r>
        <w:rPr>
          <w:rFonts w:cs="Arial"/>
          <w:sz w:val="16"/>
          <w:szCs w:val="16"/>
        </w:rPr>
        <w:t xml:space="preserve">). Тел. (423) 245-77-18, </w:t>
      </w:r>
      <w:hyperlink r:id="rId12"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sidRPr="00FF274F">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1" w:name="_Toc2349390"/>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1"/>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3"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75593F">
        <w:rPr>
          <w:rFonts w:cs="Arial"/>
          <w:sz w:val="16"/>
          <w:szCs w:val="16"/>
        </w:rPr>
        <w:t>Феврал</w:t>
      </w:r>
      <w:r w:rsidR="00FF274F">
        <w:rPr>
          <w:rFonts w:cs="Arial"/>
          <w:sz w:val="16"/>
          <w:szCs w:val="16"/>
        </w:rPr>
        <w:t>е</w:t>
      </w:r>
      <w:r w:rsidR="00FF54A7" w:rsidRPr="00651CF1">
        <w:rPr>
          <w:rFonts w:cs="Arial"/>
          <w:sz w:val="16"/>
          <w:szCs w:val="16"/>
        </w:rPr>
        <w:t xml:space="preserve"> 201</w:t>
      </w:r>
      <w:r w:rsidR="0075593F">
        <w:rPr>
          <w:rFonts w:cs="Arial"/>
          <w:sz w:val="16"/>
          <w:szCs w:val="16"/>
        </w:rPr>
        <w:t>9</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264A97"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p w:rsidR="00264A97" w:rsidRDefault="00264A97" w:rsidP="00264A97">
      <w:pPr>
        <w:jc w:val="both"/>
        <w:rPr>
          <w:rFonts w:cs="Arial"/>
          <w:sz w:val="16"/>
          <w:szCs w:val="16"/>
          <w:shd w:val="clear" w:color="auto" w:fill="FFFFFF"/>
        </w:rPr>
      </w:pPr>
    </w:p>
    <w:p w:rsidR="00264A97" w:rsidRPr="008A782A" w:rsidRDefault="00264A97" w:rsidP="00264A97">
      <w:pPr>
        <w:pStyle w:val="2"/>
        <w:rPr>
          <w:rFonts w:ascii="Arial" w:hAnsi="Arial" w:cs="Arial"/>
          <w:snapToGrid w:val="0"/>
          <w:sz w:val="20"/>
          <w:szCs w:val="20"/>
        </w:rPr>
      </w:pPr>
      <w:bookmarkStart w:id="12" w:name="_Toc2349391"/>
      <w:r>
        <w:rPr>
          <w:rFonts w:ascii="Arial" w:hAnsi="Arial" w:cs="Arial"/>
          <w:snapToGrid w:val="0"/>
          <w:sz w:val="20"/>
          <w:szCs w:val="20"/>
        </w:rPr>
        <w:t>Примечания</w:t>
      </w:r>
      <w:r w:rsidRPr="008A782A">
        <w:rPr>
          <w:rFonts w:ascii="Arial" w:hAnsi="Arial" w:cs="Arial"/>
          <w:snapToGrid w:val="0"/>
          <w:sz w:val="20"/>
          <w:szCs w:val="20"/>
        </w:rPr>
        <w:t>.</w:t>
      </w:r>
      <w:bookmarkEnd w:id="12"/>
      <w:r w:rsidRPr="008A782A">
        <w:rPr>
          <w:rFonts w:ascii="Arial" w:hAnsi="Arial" w:cs="Arial"/>
          <w:snapToGrid w:val="0"/>
          <w:sz w:val="20"/>
          <w:szCs w:val="20"/>
        </w:rPr>
        <w:t xml:space="preserve"> </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Пустые ячейки в таблицах означает отсутствие предложений за указанный период времени или не репрезентативность выборки.</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Данные настоящего Мониторинга не могут служить основанием для совершения сделок: купли-продажи/аренды и пр., для любых целей, по стоимости квадратного метра или объекта в целом указанным в Мониторинге, а могут служить лишь основанием для проведения переговоров сторон.</w:t>
      </w:r>
    </w:p>
    <w:p w:rsidR="00264A97" w:rsidRPr="00651CF1" w:rsidRDefault="00264A97" w:rsidP="00264A97">
      <w:pPr>
        <w:jc w:val="both"/>
        <w:rPr>
          <w:rFonts w:cs="Arial"/>
          <w:sz w:val="16"/>
          <w:szCs w:val="16"/>
        </w:rPr>
      </w:pPr>
    </w:p>
    <w:sectPr w:rsidR="00264A9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07" w:rsidRDefault="00707207" w:rsidP="004C4F72">
      <w:r>
        <w:separator/>
      </w:r>
    </w:p>
  </w:endnote>
  <w:endnote w:type="continuationSeparator" w:id="0">
    <w:p w:rsidR="00707207" w:rsidRDefault="00707207"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07" w:rsidRPr="0058623F" w:rsidRDefault="00707207"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07" w:rsidRDefault="00707207" w:rsidP="004C4F72">
      <w:r>
        <w:separator/>
      </w:r>
    </w:p>
  </w:footnote>
  <w:footnote w:type="continuationSeparator" w:id="0">
    <w:p w:rsidR="00707207" w:rsidRDefault="00707207" w:rsidP="004C4F72">
      <w:r>
        <w:continuationSeparator/>
      </w:r>
    </w:p>
  </w:footnote>
  <w:footnote w:id="1">
    <w:p w:rsidR="00707207" w:rsidRPr="00710B0C" w:rsidRDefault="00707207" w:rsidP="00707207">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707207" w:rsidRPr="00710B0C" w:rsidRDefault="00707207" w:rsidP="00694876">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07" w:rsidRPr="0058623F" w:rsidRDefault="00707207"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Февраль</w:t>
    </w:r>
    <w:r w:rsidRPr="0058623F">
      <w:rPr>
        <w:rFonts w:cs="Arial"/>
        <w:snapToGrid w:val="0"/>
        <w:sz w:val="16"/>
        <w:szCs w:val="16"/>
      </w:rPr>
      <w:t xml:space="preserve"> </w:t>
    </w:r>
    <w:r>
      <w:rPr>
        <w:rFonts w:cs="Arial"/>
        <w:snapToGrid w:val="0"/>
        <w:sz w:val="16"/>
        <w:szCs w:val="16"/>
      </w:rPr>
      <w:t>2019</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45B4F"/>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77DBF"/>
    <w:rsid w:val="001867EF"/>
    <w:rsid w:val="00187D71"/>
    <w:rsid w:val="001A03F3"/>
    <w:rsid w:val="001A24D8"/>
    <w:rsid w:val="001A74C3"/>
    <w:rsid w:val="001B164F"/>
    <w:rsid w:val="001B743D"/>
    <w:rsid w:val="001C29C0"/>
    <w:rsid w:val="001C6E17"/>
    <w:rsid w:val="001C7218"/>
    <w:rsid w:val="001D21C1"/>
    <w:rsid w:val="001E11B0"/>
    <w:rsid w:val="001E2BC4"/>
    <w:rsid w:val="001E69CA"/>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16307"/>
    <w:rsid w:val="003244AB"/>
    <w:rsid w:val="003248A7"/>
    <w:rsid w:val="00325718"/>
    <w:rsid w:val="003257E5"/>
    <w:rsid w:val="00332658"/>
    <w:rsid w:val="003516F3"/>
    <w:rsid w:val="003544D2"/>
    <w:rsid w:val="00354D79"/>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75BB"/>
    <w:rsid w:val="004209A3"/>
    <w:rsid w:val="004215BB"/>
    <w:rsid w:val="00421AA9"/>
    <w:rsid w:val="0042261A"/>
    <w:rsid w:val="00422FAE"/>
    <w:rsid w:val="004257E6"/>
    <w:rsid w:val="004306E1"/>
    <w:rsid w:val="004370C7"/>
    <w:rsid w:val="0044485C"/>
    <w:rsid w:val="004458F0"/>
    <w:rsid w:val="00451DF8"/>
    <w:rsid w:val="00466C83"/>
    <w:rsid w:val="004750EA"/>
    <w:rsid w:val="00476195"/>
    <w:rsid w:val="00486201"/>
    <w:rsid w:val="00486F64"/>
    <w:rsid w:val="00487286"/>
    <w:rsid w:val="00487D08"/>
    <w:rsid w:val="004A4154"/>
    <w:rsid w:val="004B1DCC"/>
    <w:rsid w:val="004C27C8"/>
    <w:rsid w:val="004C4F72"/>
    <w:rsid w:val="004D5099"/>
    <w:rsid w:val="004D6519"/>
    <w:rsid w:val="004D71B7"/>
    <w:rsid w:val="004E1962"/>
    <w:rsid w:val="004E2C68"/>
    <w:rsid w:val="004E2E22"/>
    <w:rsid w:val="00501192"/>
    <w:rsid w:val="0051231D"/>
    <w:rsid w:val="00516B96"/>
    <w:rsid w:val="0052042B"/>
    <w:rsid w:val="00522464"/>
    <w:rsid w:val="00522BBE"/>
    <w:rsid w:val="00522D44"/>
    <w:rsid w:val="00531A6B"/>
    <w:rsid w:val="0053350E"/>
    <w:rsid w:val="00533D94"/>
    <w:rsid w:val="00534149"/>
    <w:rsid w:val="005402F5"/>
    <w:rsid w:val="00541E1C"/>
    <w:rsid w:val="0054262F"/>
    <w:rsid w:val="00545647"/>
    <w:rsid w:val="00560EA4"/>
    <w:rsid w:val="005656B6"/>
    <w:rsid w:val="0058623F"/>
    <w:rsid w:val="00586BB7"/>
    <w:rsid w:val="00591A3D"/>
    <w:rsid w:val="005A1FAF"/>
    <w:rsid w:val="005A7C77"/>
    <w:rsid w:val="005B012A"/>
    <w:rsid w:val="005B015B"/>
    <w:rsid w:val="005B6EBA"/>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4876"/>
    <w:rsid w:val="00696E05"/>
    <w:rsid w:val="006A60A2"/>
    <w:rsid w:val="006C4DB3"/>
    <w:rsid w:val="006C6A37"/>
    <w:rsid w:val="006D1CA4"/>
    <w:rsid w:val="006D31D6"/>
    <w:rsid w:val="006D3544"/>
    <w:rsid w:val="006E14AE"/>
    <w:rsid w:val="006E4F9A"/>
    <w:rsid w:val="006F7700"/>
    <w:rsid w:val="007003CE"/>
    <w:rsid w:val="00701D08"/>
    <w:rsid w:val="00702777"/>
    <w:rsid w:val="007039E0"/>
    <w:rsid w:val="00707207"/>
    <w:rsid w:val="00710B0C"/>
    <w:rsid w:val="00712133"/>
    <w:rsid w:val="00714E8F"/>
    <w:rsid w:val="00725C7B"/>
    <w:rsid w:val="00726F8A"/>
    <w:rsid w:val="00746E71"/>
    <w:rsid w:val="00752164"/>
    <w:rsid w:val="0075593F"/>
    <w:rsid w:val="00763228"/>
    <w:rsid w:val="00775E70"/>
    <w:rsid w:val="00787EE5"/>
    <w:rsid w:val="0079765A"/>
    <w:rsid w:val="007A3804"/>
    <w:rsid w:val="007A3D84"/>
    <w:rsid w:val="007A4B1E"/>
    <w:rsid w:val="007B78F0"/>
    <w:rsid w:val="007C404C"/>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901795"/>
    <w:rsid w:val="0090467F"/>
    <w:rsid w:val="0090722B"/>
    <w:rsid w:val="00925530"/>
    <w:rsid w:val="00934B15"/>
    <w:rsid w:val="0095762B"/>
    <w:rsid w:val="00963CC6"/>
    <w:rsid w:val="0096419E"/>
    <w:rsid w:val="00965E11"/>
    <w:rsid w:val="00973506"/>
    <w:rsid w:val="009772C7"/>
    <w:rsid w:val="00981F94"/>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32455"/>
    <w:rsid w:val="00A35999"/>
    <w:rsid w:val="00A425D1"/>
    <w:rsid w:val="00A46EAD"/>
    <w:rsid w:val="00A52A12"/>
    <w:rsid w:val="00A53341"/>
    <w:rsid w:val="00A55BCD"/>
    <w:rsid w:val="00A60DB8"/>
    <w:rsid w:val="00A72C20"/>
    <w:rsid w:val="00A73C4A"/>
    <w:rsid w:val="00A73F32"/>
    <w:rsid w:val="00A756ED"/>
    <w:rsid w:val="00A7706C"/>
    <w:rsid w:val="00A85226"/>
    <w:rsid w:val="00AA369A"/>
    <w:rsid w:val="00AA4A62"/>
    <w:rsid w:val="00AA4D14"/>
    <w:rsid w:val="00AB3024"/>
    <w:rsid w:val="00AB6179"/>
    <w:rsid w:val="00AC0C1F"/>
    <w:rsid w:val="00AC149C"/>
    <w:rsid w:val="00AC448A"/>
    <w:rsid w:val="00AC49F3"/>
    <w:rsid w:val="00AD3588"/>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B8C"/>
    <w:rsid w:val="00DD15A0"/>
    <w:rsid w:val="00DD7978"/>
    <w:rsid w:val="00DD7DCD"/>
    <w:rsid w:val="00DE106E"/>
    <w:rsid w:val="00DE4D44"/>
    <w:rsid w:val="00DF1F57"/>
    <w:rsid w:val="00DF5133"/>
    <w:rsid w:val="00DF56DF"/>
    <w:rsid w:val="00DF6A7D"/>
    <w:rsid w:val="00E01921"/>
    <w:rsid w:val="00E05C8D"/>
    <w:rsid w:val="00E0625A"/>
    <w:rsid w:val="00E124B6"/>
    <w:rsid w:val="00E1443F"/>
    <w:rsid w:val="00E15544"/>
    <w:rsid w:val="00E1760C"/>
    <w:rsid w:val="00E204B7"/>
    <w:rsid w:val="00E23853"/>
    <w:rsid w:val="00E447F7"/>
    <w:rsid w:val="00E50F43"/>
    <w:rsid w:val="00E5108A"/>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167283643">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39362305">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90194500">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n200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CDAB2C-24CC-43FC-B6B3-E0DCFC69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User</cp:lastModifiedBy>
  <cp:revision>2</cp:revision>
  <cp:lastPrinted>2015-06-22T00:42:00Z</cp:lastPrinted>
  <dcterms:created xsi:type="dcterms:W3CDTF">2019-03-01T06:32:00Z</dcterms:created>
  <dcterms:modified xsi:type="dcterms:W3CDTF">2019-03-01T06:32:00Z</dcterms:modified>
</cp:coreProperties>
</file>