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3E330D" w:rsidRPr="006E5F68">
        <w:tc>
          <w:tcPr>
            <w:tcW w:w="10440" w:type="dxa"/>
            <w:tcBorders>
              <w:top w:val="nil"/>
              <w:bottom w:val="single" w:sz="8" w:space="0" w:color="auto"/>
            </w:tcBorders>
          </w:tcPr>
          <w:p w:rsidR="003E330D" w:rsidRPr="006E5F68" w:rsidRDefault="00B9261E" w:rsidP="00FC270A">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3E330D" w:rsidRPr="006E5F68" w:rsidRDefault="003E330D" w:rsidP="00FC270A">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3E330D" w:rsidRPr="006E5F68" w:rsidRDefault="003E330D" w:rsidP="00FC270A">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3E330D" w:rsidRPr="006E5F68">
        <w:tc>
          <w:tcPr>
            <w:tcW w:w="10440" w:type="dxa"/>
            <w:tcBorders>
              <w:top w:val="single" w:sz="8" w:space="0" w:color="auto"/>
              <w:bottom w:val="thinThickSmallGap" w:sz="12" w:space="0" w:color="auto"/>
            </w:tcBorders>
          </w:tcPr>
          <w:p w:rsidR="003E330D" w:rsidRPr="0010756F" w:rsidRDefault="003E330D" w:rsidP="00FC270A">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3E330D" w:rsidRPr="006E5F68" w:rsidRDefault="00B9261E" w:rsidP="00FC270A">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3E330D" w:rsidRPr="00E43631" w:rsidRDefault="003E330D" w:rsidP="00E43631">
      <w:pPr>
        <w:jc w:val="center"/>
      </w:pPr>
    </w:p>
    <w:p w:rsidR="003E330D" w:rsidRDefault="003E330D" w:rsidP="00E43631">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производственно-складской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xml:space="preserve">. Ставрополь (в </w:t>
      </w:r>
      <w:r w:rsidR="00F8521E">
        <w:rPr>
          <w:b/>
          <w:sz w:val="28"/>
          <w:szCs w:val="28"/>
        </w:rPr>
        <w:t xml:space="preserve">период с 01 января 2009 по </w:t>
      </w:r>
      <w:r w:rsidR="009525B7">
        <w:rPr>
          <w:b/>
          <w:sz w:val="28"/>
          <w:szCs w:val="28"/>
        </w:rPr>
        <w:t>31</w:t>
      </w:r>
      <w:r w:rsidR="003D14A2">
        <w:rPr>
          <w:b/>
          <w:sz w:val="28"/>
          <w:szCs w:val="28"/>
        </w:rPr>
        <w:t xml:space="preserve"> </w:t>
      </w:r>
      <w:r w:rsidR="00B96287">
        <w:rPr>
          <w:b/>
          <w:sz w:val="28"/>
          <w:szCs w:val="28"/>
        </w:rPr>
        <w:t>янва</w:t>
      </w:r>
      <w:r w:rsidR="00AC3ADB">
        <w:rPr>
          <w:b/>
          <w:sz w:val="28"/>
          <w:szCs w:val="28"/>
        </w:rPr>
        <w:t>ря</w:t>
      </w:r>
      <w:r w:rsidR="00B96287">
        <w:rPr>
          <w:b/>
          <w:sz w:val="28"/>
          <w:szCs w:val="28"/>
        </w:rPr>
        <w:t xml:space="preserve"> 2020</w:t>
      </w:r>
      <w:r w:rsidRPr="008E40B2">
        <w:rPr>
          <w:b/>
          <w:sz w:val="28"/>
          <w:szCs w:val="28"/>
        </w:rPr>
        <w:t xml:space="preserve"> г.</w:t>
      </w:r>
      <w:bookmarkEnd w:id="0"/>
      <w:r w:rsidRPr="008E40B2">
        <w:rPr>
          <w:b/>
          <w:sz w:val="28"/>
          <w:szCs w:val="28"/>
        </w:rPr>
        <w:t>)</w:t>
      </w:r>
      <w:r w:rsidRPr="008E40B2">
        <w:rPr>
          <w:rStyle w:val="a6"/>
          <w:b/>
          <w:sz w:val="28"/>
          <w:szCs w:val="28"/>
        </w:rPr>
        <w:footnoteReference w:customMarkFollows="1" w:id="1"/>
        <w:t>*</w:t>
      </w:r>
    </w:p>
    <w:p w:rsidR="00E43631" w:rsidRPr="00E43631" w:rsidRDefault="00E43631" w:rsidP="00E43631">
      <w:pPr>
        <w:jc w:val="center"/>
        <w:outlineLvl w:val="1"/>
      </w:pPr>
    </w:p>
    <w:p w:rsidR="003E330D" w:rsidRDefault="003E330D" w:rsidP="003E330D">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3E330D" w:rsidRPr="00221A08" w:rsidRDefault="003E330D" w:rsidP="003E330D">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3E330D" w:rsidRPr="00221A08" w:rsidRDefault="003E330D" w:rsidP="003E330D">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3E330D" w:rsidRPr="00221A08" w:rsidRDefault="003E330D" w:rsidP="003E330D">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3E330D" w:rsidRPr="00221A08" w:rsidRDefault="003E330D" w:rsidP="003E330D">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B57F58">
        <w:t>, юридическая «чистота» объекта;</w:t>
      </w:r>
      <w:proofErr w:type="gramEnd"/>
    </w:p>
    <w:p w:rsidR="003E330D" w:rsidRPr="00221A08" w:rsidRDefault="003E330D" w:rsidP="003E330D">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B57F58">
        <w:t>мпатии, осведомленность и т.д.).</w:t>
      </w:r>
    </w:p>
    <w:p w:rsidR="003E330D" w:rsidRPr="00F45689" w:rsidRDefault="003E330D" w:rsidP="003E330D">
      <w:pPr>
        <w:ind w:firstLine="709"/>
        <w:jc w:val="both"/>
      </w:pPr>
      <w:proofErr w:type="gramStart"/>
      <w:r w:rsidRPr="00221A08">
        <w:t xml:space="preserve">Коммерческая недвижимость по функциональному назначению может быть </w:t>
      </w:r>
      <w:r w:rsidRPr="00F45689">
        <w:t>классифицирована на торговую, офисную и производственно-складскую</w:t>
      </w:r>
      <w:r w:rsidR="00F45689" w:rsidRPr="00F45689">
        <w:t xml:space="preserve"> </w:t>
      </w:r>
      <w:r w:rsidR="00F45689" w:rsidRPr="00F45689">
        <w:rPr>
          <w:color w:val="000000"/>
        </w:rPr>
        <w:t>(в соответствии с общепринятой классификацией профессиональных операторов рынка недвижимости)</w:t>
      </w:r>
      <w:r w:rsidRPr="00F45689">
        <w:t>.</w:t>
      </w:r>
      <w:proofErr w:type="gramEnd"/>
    </w:p>
    <w:p w:rsidR="001869D8" w:rsidRPr="00F45689" w:rsidRDefault="001869D8" w:rsidP="003E330D">
      <w:pPr>
        <w:ind w:firstLine="709"/>
        <w:jc w:val="both"/>
      </w:pPr>
      <w:r w:rsidRPr="00F45689">
        <w:t>В стоимость 1 кв</w:t>
      </w:r>
      <w:proofErr w:type="gramStart"/>
      <w:r w:rsidRPr="00F45689">
        <w:t>.м</w:t>
      </w:r>
      <w:proofErr w:type="gramEnd"/>
      <w:r w:rsidRPr="00F45689">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F45689" w:rsidRDefault="00F45689" w:rsidP="00F45689">
      <w:pPr>
        <w:ind w:firstLine="709"/>
        <w:jc w:val="both"/>
      </w:pPr>
      <w:r w:rsidRPr="00F45689">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F45689">
        <w:t>.м</w:t>
      </w:r>
      <w:proofErr w:type="gramEnd"/>
      <w:r w:rsidRPr="00F45689">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F45689">
        <w:t>коррелирует</w:t>
      </w:r>
      <w:proofErr w:type="spellEnd"/>
      <w:r w:rsidRPr="00F45689">
        <w:t xml:space="preserve"> с данными ставропольских </w:t>
      </w:r>
      <w:proofErr w:type="spellStart"/>
      <w:r w:rsidRPr="00F45689">
        <w:t>риэлтеров</w:t>
      </w:r>
      <w:proofErr w:type="spellEnd"/>
      <w:r w:rsidRPr="00F45689">
        <w:t>.</w:t>
      </w:r>
      <w:r w:rsidRPr="00F45689">
        <w:rPr>
          <w:rStyle w:val="a6"/>
        </w:rPr>
        <w:footnoteReference w:customMarkFollows="1" w:id="2"/>
        <w:t>**</w:t>
      </w:r>
    </w:p>
    <w:p w:rsidR="00E720FF" w:rsidRDefault="00E720FF" w:rsidP="00E720FF">
      <w:pPr>
        <w:ind w:firstLine="709"/>
        <w:jc w:val="both"/>
      </w:pPr>
      <w:r>
        <w:lastRenderedPageBreak/>
        <w:t xml:space="preserve">Предполагается, что выявленные </w:t>
      </w:r>
      <w:proofErr w:type="gramStart"/>
      <w:r>
        <w:t>предложения</w:t>
      </w:r>
      <w:proofErr w:type="gramEnd"/>
      <w:r>
        <w:t xml:space="preserve"> как продажи, так и аренды включаю</w:t>
      </w:r>
      <w:r w:rsidR="00572CF5">
        <w:t>т НДС (20</w:t>
      </w:r>
      <w:r>
        <w:t>%). Анализ сложившейся деловой практики показывает, что арендные ставки не включают величину коммунальных платежей, т.е. он</w:t>
      </w:r>
      <w:r w:rsidR="00445F35">
        <w:t>и</w:t>
      </w:r>
      <w:r>
        <w:t xml:space="preserve"> оплачиваются арендатором отдельно.</w:t>
      </w:r>
      <w:r w:rsidR="00CF2C61">
        <w:t xml:space="preserve"> Следует также отметить, что типовым показателем является цена аренды 1 кв</w:t>
      </w:r>
      <w:proofErr w:type="gramStart"/>
      <w:r w:rsidR="00CF2C61">
        <w:t>.м</w:t>
      </w:r>
      <w:proofErr w:type="gramEnd"/>
      <w:r w:rsidR="00CF2C61">
        <w:t xml:space="preserve"> площади в интервал времени, равный месяцу.</w:t>
      </w:r>
    </w:p>
    <w:p w:rsidR="00E720FF" w:rsidRDefault="00E720FF" w:rsidP="00B615FD">
      <w:pPr>
        <w:ind w:firstLine="709"/>
        <w:jc w:val="both"/>
      </w:pPr>
    </w:p>
    <w:p w:rsidR="00B615FD" w:rsidRDefault="00B615FD" w:rsidP="00B615FD">
      <w:pPr>
        <w:ind w:firstLine="709"/>
        <w:jc w:val="both"/>
      </w:pPr>
      <w:r>
        <w:t xml:space="preserve">Интервал осуществляемого исследования принят равным месяцу. В данном случае исследуемый месяц – </w:t>
      </w:r>
      <w:r w:rsidR="00B96287">
        <w:rPr>
          <w:sz w:val="28"/>
          <w:szCs w:val="28"/>
          <w:u w:val="single"/>
        </w:rPr>
        <w:t>янва</w:t>
      </w:r>
      <w:r w:rsidR="00AC3ADB">
        <w:rPr>
          <w:sz w:val="28"/>
          <w:szCs w:val="28"/>
          <w:u w:val="single"/>
        </w:rPr>
        <w:t>рь</w:t>
      </w:r>
      <w:r w:rsidR="00B96287">
        <w:rPr>
          <w:sz w:val="28"/>
          <w:szCs w:val="28"/>
          <w:u w:val="single"/>
        </w:rPr>
        <w:t xml:space="preserve"> 2020</w:t>
      </w:r>
      <w:r w:rsidR="00DF65FB" w:rsidRPr="00E40B04">
        <w:rPr>
          <w:sz w:val="28"/>
          <w:szCs w:val="28"/>
          <w:u w:val="single"/>
        </w:rPr>
        <w:t xml:space="preserve"> года</w:t>
      </w:r>
    </w:p>
    <w:p w:rsidR="003E330D" w:rsidRDefault="003E330D" w:rsidP="003E330D">
      <w:pPr>
        <w:ind w:firstLine="709"/>
        <w:jc w:val="both"/>
      </w:pPr>
    </w:p>
    <w:p w:rsidR="003E330D" w:rsidRDefault="003E330D" w:rsidP="003E330D">
      <w:pPr>
        <w:ind w:firstLine="709"/>
        <w:jc w:val="both"/>
      </w:pPr>
      <w:r>
        <w:t xml:space="preserve">Совокупный </w:t>
      </w:r>
      <w:r w:rsidRPr="00221A08">
        <w:t>рын</w:t>
      </w:r>
      <w:r>
        <w:t>о</w:t>
      </w:r>
      <w:r w:rsidRPr="00221A08">
        <w:t xml:space="preserve">к </w:t>
      </w:r>
      <w:r>
        <w:t>производственно-складской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 представлена на рисунке 1.</w:t>
      </w:r>
    </w:p>
    <w:p w:rsidR="00EC7049" w:rsidRDefault="00EC7049" w:rsidP="003E330D">
      <w:pPr>
        <w:ind w:firstLine="709"/>
        <w:jc w:val="both"/>
      </w:pPr>
    </w:p>
    <w:p w:rsidR="003E330D" w:rsidRPr="00F61050" w:rsidRDefault="00B96287" w:rsidP="003E330D">
      <w:pPr>
        <w:jc w:val="center"/>
      </w:pPr>
      <w:r w:rsidRPr="00B96287">
        <w:rPr>
          <w:noProof/>
        </w:rPr>
        <w:drawing>
          <wp:inline distT="0" distB="0" distL="0" distR="0">
            <wp:extent cx="2299891" cy="2336006"/>
            <wp:effectExtent l="19050" t="0" r="24209" b="714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30D" w:rsidRPr="00BA4A7B" w:rsidRDefault="003E330D" w:rsidP="003E330D">
      <w:pPr>
        <w:jc w:val="center"/>
        <w:rPr>
          <w:i/>
        </w:rPr>
      </w:pPr>
      <w:r w:rsidRPr="00BA4A7B">
        <w:rPr>
          <w:i/>
        </w:rPr>
        <w:t xml:space="preserve">Рисунок </w:t>
      </w:r>
      <w:r w:rsidR="007D3147" w:rsidRPr="00BA4A7B">
        <w:rPr>
          <w:i/>
        </w:rPr>
        <w:fldChar w:fldCharType="begin"/>
      </w:r>
      <w:r w:rsidRPr="00BA4A7B">
        <w:rPr>
          <w:i/>
        </w:rPr>
        <w:instrText xml:space="preserve"> SEQ Рисунок \* ARABIC </w:instrText>
      </w:r>
      <w:r w:rsidR="007D3147" w:rsidRPr="00BA4A7B">
        <w:rPr>
          <w:i/>
        </w:rPr>
        <w:fldChar w:fldCharType="separate"/>
      </w:r>
      <w:r w:rsidR="00607E85">
        <w:rPr>
          <w:i/>
          <w:noProof/>
        </w:rPr>
        <w:t>1</w:t>
      </w:r>
      <w:r w:rsidR="007D3147" w:rsidRPr="00BA4A7B">
        <w:rPr>
          <w:i/>
        </w:rPr>
        <w:fldChar w:fldCharType="end"/>
      </w:r>
      <w:r w:rsidRPr="00BA4A7B">
        <w:rPr>
          <w:i/>
        </w:rPr>
        <w:t xml:space="preserve"> – Общая структура предложения</w:t>
      </w:r>
    </w:p>
    <w:p w:rsidR="003E330D" w:rsidRDefault="003E330D" w:rsidP="003E330D">
      <w:pPr>
        <w:ind w:firstLine="709"/>
        <w:jc w:val="both"/>
      </w:pPr>
    </w:p>
    <w:p w:rsidR="003E330D" w:rsidRPr="00FD658D" w:rsidRDefault="003E330D" w:rsidP="003E330D">
      <w:pPr>
        <w:ind w:firstLine="709"/>
        <w:rPr>
          <w:b/>
        </w:rPr>
      </w:pPr>
      <w:r w:rsidRPr="00FD658D">
        <w:rPr>
          <w:b/>
        </w:rPr>
        <w:t xml:space="preserve">Продажа </w:t>
      </w:r>
      <w:r>
        <w:rPr>
          <w:b/>
        </w:rPr>
        <w:t>производственно-складской</w:t>
      </w:r>
      <w:r w:rsidRPr="00FD658D">
        <w:rPr>
          <w:b/>
        </w:rPr>
        <w:t xml:space="preserve"> недвижимости</w:t>
      </w:r>
    </w:p>
    <w:p w:rsidR="003E330D" w:rsidRDefault="003E330D" w:rsidP="003E330D">
      <w:pPr>
        <w:ind w:firstLine="709"/>
        <w:jc w:val="both"/>
      </w:pPr>
    </w:p>
    <w:p w:rsidR="003E330D" w:rsidRDefault="003E330D" w:rsidP="003E330D">
      <w:pPr>
        <w:ind w:firstLine="709"/>
        <w:jc w:val="both"/>
      </w:pPr>
      <w:r>
        <w:t>Структура предложений продажи в выделенных сегментах коммерческой недвижимости</w:t>
      </w:r>
      <w:r w:rsidR="00DF65FB">
        <w:t xml:space="preserve"> </w:t>
      </w:r>
      <w:r>
        <w:t>по функциональному назначению представлена на рисунке 2.</w:t>
      </w:r>
    </w:p>
    <w:p w:rsidR="003E330D" w:rsidRDefault="003E330D" w:rsidP="003E330D">
      <w:pPr>
        <w:ind w:firstLine="709"/>
        <w:jc w:val="both"/>
      </w:pPr>
    </w:p>
    <w:p w:rsidR="003E330D" w:rsidRPr="00D92C9C" w:rsidRDefault="00B96287" w:rsidP="003E330D">
      <w:pPr>
        <w:jc w:val="center"/>
      </w:pPr>
      <w:r w:rsidRPr="00B96287">
        <w:rPr>
          <w:noProof/>
        </w:rPr>
        <w:drawing>
          <wp:inline distT="0" distB="0" distL="0" distR="0">
            <wp:extent cx="2338387" cy="2406649"/>
            <wp:effectExtent l="19050" t="0" r="23813"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30D" w:rsidRPr="00BA4A7B" w:rsidRDefault="003E330D" w:rsidP="003E330D">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3E330D" w:rsidRDefault="003E330D" w:rsidP="003E330D">
      <w:pPr>
        <w:ind w:firstLine="709"/>
        <w:jc w:val="both"/>
      </w:pPr>
    </w:p>
    <w:p w:rsidR="00DF65FB" w:rsidRPr="005D298D" w:rsidRDefault="00DF65FB" w:rsidP="00DF65FB">
      <w:pPr>
        <w:ind w:firstLine="540"/>
        <w:jc w:val="both"/>
      </w:pPr>
      <w:r w:rsidRPr="00E40B04">
        <w:t xml:space="preserve">Анализ показывает, что по функциональному назначению наиболее выставляемыми на продажу являлись объекты недвижимости </w:t>
      </w:r>
      <w:r w:rsidR="00B96287">
        <w:t>офисн</w:t>
      </w:r>
      <w:r w:rsidR="00CB147F">
        <w:t>ого назначения – 4</w:t>
      </w:r>
      <w:r w:rsidR="007B4F76">
        <w:t>4</w:t>
      </w:r>
      <w:r w:rsidR="00AB0144" w:rsidRPr="003A5EFF">
        <w:t>%</w:t>
      </w:r>
      <w:r w:rsidRPr="003A5EFF">
        <w:t xml:space="preserve">, а наименее выставляемыми объекты </w:t>
      </w:r>
      <w:r w:rsidR="00757A4A">
        <w:t>производственно-складского</w:t>
      </w:r>
      <w:r w:rsidR="00194749">
        <w:t xml:space="preserve"> </w:t>
      </w:r>
      <w:r w:rsidRPr="003A5EFF">
        <w:t>назначения (</w:t>
      </w:r>
      <w:r w:rsidR="007B4F76">
        <w:t>16</w:t>
      </w:r>
      <w:r w:rsidRPr="003A5EFF">
        <w:t>%).</w:t>
      </w:r>
    </w:p>
    <w:p w:rsidR="003E330D" w:rsidRPr="00DF65FB" w:rsidRDefault="003E330D" w:rsidP="003E330D">
      <w:pPr>
        <w:ind w:firstLine="709"/>
        <w:jc w:val="both"/>
        <w:rPr>
          <w:spacing w:val="-6"/>
        </w:rPr>
      </w:pPr>
      <w:r w:rsidRPr="008E40B2">
        <w:rPr>
          <w:spacing w:val="-6"/>
        </w:rPr>
        <w:t xml:space="preserve">В </w:t>
      </w:r>
      <w:r w:rsidR="00B96287">
        <w:rPr>
          <w:spacing w:val="-6"/>
        </w:rPr>
        <w:t>янва</w:t>
      </w:r>
      <w:r w:rsidR="00AC3ADB">
        <w:rPr>
          <w:spacing w:val="-6"/>
        </w:rPr>
        <w:t>ре</w:t>
      </w:r>
      <w:r w:rsidR="00B96287">
        <w:rPr>
          <w:spacing w:val="-6"/>
        </w:rPr>
        <w:t xml:space="preserve"> 2020</w:t>
      </w:r>
      <w:r w:rsidRPr="008E40B2">
        <w:rPr>
          <w:spacing w:val="-6"/>
        </w:rPr>
        <w:t xml:space="preserve"> года средн</w:t>
      </w:r>
      <w:r w:rsidR="00B615FD" w:rsidRPr="008E40B2">
        <w:rPr>
          <w:spacing w:val="-6"/>
        </w:rPr>
        <w:t>я</w:t>
      </w:r>
      <w:r w:rsidRPr="008E40B2">
        <w:rPr>
          <w:spacing w:val="-6"/>
        </w:rPr>
        <w:t>я</w:t>
      </w:r>
      <w:r w:rsidR="00B615FD" w:rsidRPr="008E40B2">
        <w:rPr>
          <w:rStyle w:val="a6"/>
          <w:spacing w:val="-6"/>
        </w:rPr>
        <w:footnoteReference w:customMarkFollows="1" w:id="3"/>
        <w:t>*</w:t>
      </w:r>
      <w:r w:rsidRPr="008E40B2">
        <w:rPr>
          <w:spacing w:val="-6"/>
        </w:rPr>
        <w:t xml:space="preserve"> цена предложений продажи производственно-складской недвижимости составила </w:t>
      </w:r>
      <w:r w:rsidR="00B96287">
        <w:rPr>
          <w:spacing w:val="-6"/>
        </w:rPr>
        <w:t>16 034</w:t>
      </w:r>
      <w:r w:rsidRPr="00DF65FB">
        <w:rPr>
          <w:spacing w:val="-6"/>
        </w:rPr>
        <w:t xml:space="preserve"> руб./кв. м </w:t>
      </w:r>
      <w:r w:rsidR="00F93AF0">
        <w:rPr>
          <w:spacing w:val="-6"/>
        </w:rPr>
        <w:t>с</w:t>
      </w:r>
      <w:r w:rsidR="00F93AF0" w:rsidRPr="00F93AF0">
        <w:rPr>
          <w:spacing w:val="-6"/>
        </w:rPr>
        <w:t>тандартная ошибка</w:t>
      </w:r>
      <w:r w:rsidRPr="00DF65FB">
        <w:rPr>
          <w:spacing w:val="-6"/>
        </w:rPr>
        <w:t xml:space="preserve"> </w:t>
      </w:r>
      <w:r w:rsidR="00B96287">
        <w:rPr>
          <w:spacing w:val="-6"/>
        </w:rPr>
        <w:t>7,8</w:t>
      </w:r>
      <w:r w:rsidRPr="00DF65FB">
        <w:rPr>
          <w:spacing w:val="-6"/>
        </w:rPr>
        <w:t xml:space="preserve">%, изменение к предыдущему месяцу </w:t>
      </w:r>
      <w:r w:rsidR="00B96287">
        <w:rPr>
          <w:spacing w:val="-6"/>
        </w:rPr>
        <w:t>5,1</w:t>
      </w:r>
      <w:r w:rsidR="00424E62">
        <w:rPr>
          <w:spacing w:val="-6"/>
        </w:rPr>
        <w:t>%</w:t>
      </w:r>
      <w:r w:rsidRPr="00DF65FB">
        <w:rPr>
          <w:spacing w:val="-6"/>
        </w:rPr>
        <w:t>. Средн</w:t>
      </w:r>
      <w:r w:rsidR="00B615FD" w:rsidRPr="00DF65FB">
        <w:rPr>
          <w:spacing w:val="-6"/>
        </w:rPr>
        <w:t>я</w:t>
      </w:r>
      <w:r w:rsidRPr="00DF65FB">
        <w:rPr>
          <w:spacing w:val="-6"/>
        </w:rPr>
        <w:t>я цена предложений продажи</w:t>
      </w:r>
      <w:r w:rsidRPr="00DF65FB">
        <w:t xml:space="preserve">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колебалась в пределах от </w:t>
      </w:r>
      <w:r w:rsidR="00B96287">
        <w:t>6 061</w:t>
      </w:r>
      <w:r w:rsidR="00055D41">
        <w:t xml:space="preserve"> </w:t>
      </w:r>
      <w:r w:rsidRPr="00DF65FB">
        <w:t xml:space="preserve">руб. до </w:t>
      </w:r>
      <w:r w:rsidR="00B96287">
        <w:t>25 385</w:t>
      </w:r>
      <w:r w:rsidRPr="00DF65FB">
        <w:t xml:space="preserve"> руб. в зависимости от </w:t>
      </w:r>
      <w:proofErr w:type="spellStart"/>
      <w:r w:rsidRPr="00DF65FB">
        <w:t>ценообразующих</w:t>
      </w:r>
      <w:proofErr w:type="spellEnd"/>
      <w:r w:rsidRPr="00DF65FB">
        <w:t xml:space="preserve"> факторов.</w:t>
      </w:r>
    </w:p>
    <w:p w:rsidR="00663A87" w:rsidRDefault="00663A87"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Цена предложения продажи</w:t>
            </w:r>
            <w:r w:rsidRPr="006B44ED">
              <w:rPr>
                <w:i/>
                <w:sz w:val="20"/>
                <w:szCs w:val="20"/>
              </w:rPr>
              <w:t xml:space="preserve"> единого объекта недвижимости производств</w:t>
            </w:r>
            <w:r w:rsidR="00196A13">
              <w:rPr>
                <w:i/>
                <w:sz w:val="20"/>
                <w:szCs w:val="20"/>
              </w:rPr>
              <w:t>енно-складского назначения,</w:t>
            </w:r>
            <w:r w:rsidRPr="006B44ED">
              <w:rPr>
                <w:i/>
                <w:sz w:val="20"/>
                <w:szCs w:val="20"/>
              </w:rPr>
              <w:t xml:space="preserve"> руб.</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367EFD">
            <w:pPr>
              <w:jc w:val="center"/>
              <w:rPr>
                <w:sz w:val="20"/>
                <w:szCs w:val="20"/>
              </w:rPr>
            </w:pPr>
            <w:r>
              <w:rPr>
                <w:sz w:val="20"/>
                <w:szCs w:val="20"/>
              </w:rPr>
              <w:t>2</w:t>
            </w:r>
            <w:r w:rsidR="00B96287">
              <w:rPr>
                <w:sz w:val="20"/>
                <w:szCs w:val="20"/>
              </w:rPr>
              <w:t>6 027 364</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196A13" w:rsidP="00D132D3">
            <w:pPr>
              <w:jc w:val="center"/>
              <w:rPr>
                <w:sz w:val="20"/>
                <w:szCs w:val="20"/>
              </w:rPr>
            </w:pPr>
            <w:r>
              <w:rPr>
                <w:sz w:val="20"/>
                <w:szCs w:val="20"/>
              </w:rPr>
              <w:t>146 000 000</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F708CA" w:rsidRPr="006B44ED" w:rsidRDefault="00AC3ADB" w:rsidP="00F708CA">
            <w:pPr>
              <w:jc w:val="center"/>
              <w:rPr>
                <w:sz w:val="20"/>
                <w:szCs w:val="20"/>
              </w:rPr>
            </w:pPr>
            <w:r>
              <w:rPr>
                <w:sz w:val="20"/>
                <w:szCs w:val="20"/>
              </w:rPr>
              <w:t>5</w:t>
            </w:r>
            <w:r w:rsidR="009525B7">
              <w:rPr>
                <w:sz w:val="20"/>
                <w:szCs w:val="20"/>
              </w:rPr>
              <w:t>8</w:t>
            </w:r>
            <w:r w:rsidR="00196A13">
              <w:rPr>
                <w:sz w:val="20"/>
                <w:szCs w:val="20"/>
              </w:rPr>
              <w:t>0 000</w:t>
            </w:r>
          </w:p>
        </w:tc>
      </w:tr>
    </w:tbl>
    <w:p w:rsidR="00EC7049" w:rsidRDefault="00EC7049"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 xml:space="preserve">Общая площадь предложения продажи </w:t>
            </w:r>
            <w:r w:rsidRPr="006B44ED">
              <w:rPr>
                <w:i/>
                <w:sz w:val="20"/>
                <w:szCs w:val="20"/>
              </w:rPr>
              <w:t>единого объекта недвижимости производственно-складского назначения, кв</w:t>
            </w:r>
            <w:proofErr w:type="gramStart"/>
            <w:r w:rsidRPr="006B44ED">
              <w:rPr>
                <w:i/>
                <w:sz w:val="20"/>
                <w:szCs w:val="20"/>
              </w:rPr>
              <w:t>.м</w:t>
            </w:r>
            <w:proofErr w:type="gramEnd"/>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515B83">
            <w:pPr>
              <w:jc w:val="center"/>
              <w:rPr>
                <w:sz w:val="20"/>
                <w:szCs w:val="20"/>
              </w:rPr>
            </w:pPr>
            <w:r>
              <w:rPr>
                <w:sz w:val="20"/>
                <w:szCs w:val="20"/>
              </w:rPr>
              <w:t xml:space="preserve">1 </w:t>
            </w:r>
            <w:r w:rsidR="00B96287">
              <w:rPr>
                <w:sz w:val="20"/>
                <w:szCs w:val="20"/>
              </w:rPr>
              <w:t>627</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4042FD" w:rsidP="00196A13">
            <w:pPr>
              <w:jc w:val="center"/>
              <w:rPr>
                <w:sz w:val="20"/>
                <w:szCs w:val="20"/>
              </w:rPr>
            </w:pPr>
            <w:r>
              <w:rPr>
                <w:sz w:val="20"/>
                <w:szCs w:val="20"/>
              </w:rPr>
              <w:t xml:space="preserve"> </w:t>
            </w:r>
            <w:r w:rsidR="006D5725">
              <w:rPr>
                <w:sz w:val="20"/>
                <w:szCs w:val="20"/>
              </w:rPr>
              <w:t xml:space="preserve"> </w:t>
            </w:r>
            <w:r w:rsidR="007B4F76">
              <w:rPr>
                <w:sz w:val="20"/>
                <w:szCs w:val="20"/>
              </w:rPr>
              <w:t>8 5</w:t>
            </w:r>
            <w:r w:rsidR="00196A13">
              <w:rPr>
                <w:sz w:val="20"/>
                <w:szCs w:val="20"/>
              </w:rPr>
              <w:t>00</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EC7049" w:rsidRPr="006B44ED" w:rsidRDefault="009525B7" w:rsidP="00515B83">
            <w:pPr>
              <w:jc w:val="center"/>
              <w:rPr>
                <w:sz w:val="20"/>
                <w:szCs w:val="20"/>
              </w:rPr>
            </w:pPr>
            <w:r>
              <w:rPr>
                <w:sz w:val="20"/>
                <w:szCs w:val="20"/>
              </w:rPr>
              <w:t>5</w:t>
            </w:r>
            <w:r w:rsidR="00AC3ADB">
              <w:rPr>
                <w:sz w:val="20"/>
                <w:szCs w:val="20"/>
              </w:rPr>
              <w:t>0</w:t>
            </w:r>
          </w:p>
        </w:tc>
      </w:tr>
    </w:tbl>
    <w:p w:rsidR="00EC7049" w:rsidRDefault="00EC7049" w:rsidP="00EC7049">
      <w:pPr>
        <w:ind w:firstLine="709"/>
        <w:jc w:val="both"/>
      </w:pPr>
    </w:p>
    <w:p w:rsidR="00D92C9C" w:rsidRDefault="00D92C9C" w:rsidP="006B44ED">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D92C9C" w:rsidRPr="006B44ED" w:rsidRDefault="00D92C9C" w:rsidP="006B44ED">
      <w:pPr>
        <w:ind w:firstLine="540"/>
        <w:jc w:val="both"/>
        <w:rPr>
          <w:spacing w:val="-6"/>
        </w:rPr>
      </w:pPr>
      <w:r>
        <w:rPr>
          <w:spacing w:val="-6"/>
        </w:rPr>
        <w:t>Долгосрочная динамика представлена на рисунках 3 и 4.</w:t>
      </w:r>
    </w:p>
    <w:p w:rsidR="00D92C9C" w:rsidRDefault="007B4F76" w:rsidP="00D92C9C">
      <w:pPr>
        <w:ind w:firstLine="540"/>
        <w:jc w:val="center"/>
      </w:pPr>
      <w:r w:rsidRPr="007B4F76">
        <w:rPr>
          <w:noProof/>
        </w:rPr>
        <w:drawing>
          <wp:inline distT="0" distB="0" distL="0" distR="0">
            <wp:extent cx="5591175" cy="17430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C9C" w:rsidRPr="006B44ED" w:rsidRDefault="00D92C9C" w:rsidP="006B44ED">
      <w:pPr>
        <w:pStyle w:val="aa"/>
        <w:ind w:firstLine="540"/>
        <w:jc w:val="center"/>
        <w:rPr>
          <w:b w:val="0"/>
          <w:i/>
          <w:sz w:val="24"/>
          <w:szCs w:val="24"/>
        </w:rPr>
      </w:pPr>
      <w:r w:rsidRPr="0066391A">
        <w:rPr>
          <w:b w:val="0"/>
          <w:i/>
          <w:sz w:val="24"/>
          <w:szCs w:val="24"/>
        </w:rPr>
        <w:t>Рисунок</w:t>
      </w:r>
      <w:r>
        <w:rPr>
          <w:b w:val="0"/>
          <w:i/>
          <w:sz w:val="24"/>
          <w:szCs w:val="24"/>
        </w:rPr>
        <w:t xml:space="preserve"> 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D92C9C" w:rsidRDefault="00D92C9C" w:rsidP="00D92C9C">
      <w:pPr>
        <w:ind w:firstLine="709"/>
        <w:jc w:val="both"/>
      </w:pPr>
      <w:r>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2D69F8">
        <w:t>увеличилась</w:t>
      </w:r>
      <w:r w:rsidRPr="00DF65FB">
        <w:t xml:space="preserve"> на </w:t>
      </w:r>
      <w:r w:rsidR="00B84C82">
        <w:t>2 650</w:t>
      </w:r>
      <w:r w:rsidRPr="00DF65FB">
        <w:t xml:space="preserve"> руб.</w:t>
      </w:r>
    </w:p>
    <w:p w:rsidR="006B44ED" w:rsidRDefault="00B84C82" w:rsidP="002D69F8">
      <w:pPr>
        <w:ind w:firstLine="709"/>
        <w:jc w:val="center"/>
      </w:pPr>
      <w:r w:rsidRPr="00B84C82">
        <w:rPr>
          <w:noProof/>
        </w:rPr>
        <w:drawing>
          <wp:inline distT="0" distB="0" distL="0" distR="0">
            <wp:extent cx="5699364" cy="1751163"/>
            <wp:effectExtent l="19050" t="0" r="15636" b="1437"/>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C9C" w:rsidRDefault="00D92C9C" w:rsidP="00D92C9C">
      <w:pPr>
        <w:ind w:firstLine="540"/>
        <w:jc w:val="center"/>
      </w:pPr>
    </w:p>
    <w:p w:rsidR="00D92C9C" w:rsidRPr="00896418" w:rsidRDefault="00D92C9C" w:rsidP="00D92C9C">
      <w:pPr>
        <w:pStyle w:val="aa"/>
        <w:jc w:val="center"/>
        <w:rPr>
          <w:b w:val="0"/>
          <w:i/>
          <w:sz w:val="24"/>
          <w:szCs w:val="24"/>
        </w:rPr>
      </w:pPr>
      <w:r w:rsidRPr="00896418">
        <w:rPr>
          <w:b w:val="0"/>
          <w:i/>
          <w:sz w:val="24"/>
          <w:szCs w:val="24"/>
        </w:rPr>
        <w:t xml:space="preserve">Рисунок </w:t>
      </w:r>
      <w:r>
        <w:rPr>
          <w:b w:val="0"/>
          <w:i/>
          <w:sz w:val="24"/>
          <w:szCs w:val="24"/>
        </w:rPr>
        <w:t>4</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F45689" w:rsidRDefault="00F45689" w:rsidP="00D92C9C">
      <w:pPr>
        <w:ind w:firstLine="709"/>
        <w:jc w:val="both"/>
      </w:pPr>
    </w:p>
    <w:p w:rsidR="00D92C9C" w:rsidRDefault="00D92C9C" w:rsidP="00D92C9C">
      <w:pPr>
        <w:ind w:firstLine="709"/>
        <w:jc w:val="both"/>
      </w:pPr>
      <w:r>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0A4C72">
        <w:t>увеличилась</w:t>
      </w:r>
      <w:r w:rsidRPr="00DF65FB">
        <w:t xml:space="preserve"> на </w:t>
      </w:r>
      <w:r w:rsidR="00B84C82">
        <w:t>18</w:t>
      </w:r>
      <w:r w:rsidRPr="00DF65FB">
        <w:t>%.</w:t>
      </w:r>
    </w:p>
    <w:p w:rsidR="00D92C9C" w:rsidRDefault="00D92C9C"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D92C9C">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D92C9C">
        <w:rPr>
          <w:spacing w:val="-6"/>
        </w:rPr>
        <w:t xml:space="preserve"> В качестве базиса (100%) используется средний показатель за 2009 год (14 833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3E49CB" w:rsidRDefault="003E49CB" w:rsidP="003E330D">
      <w:pPr>
        <w:ind w:firstLine="709"/>
        <w:jc w:val="both"/>
        <w:rPr>
          <w:spacing w:val="-6"/>
        </w:rPr>
      </w:pPr>
    </w:p>
    <w:tbl>
      <w:tblPr>
        <w:tblW w:w="5000" w:type="pct"/>
        <w:tblLook w:val="04A0"/>
      </w:tblPr>
      <w:tblGrid>
        <w:gridCol w:w="1685"/>
        <w:gridCol w:w="1087"/>
        <w:gridCol w:w="1324"/>
        <w:gridCol w:w="1228"/>
        <w:gridCol w:w="1143"/>
        <w:gridCol w:w="1228"/>
        <w:gridCol w:w="1122"/>
        <w:gridCol w:w="1479"/>
      </w:tblGrid>
      <w:tr w:rsidR="00B96287" w:rsidRPr="00B96287" w:rsidTr="00B96287">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sz w:val="22"/>
                <w:szCs w:val="22"/>
              </w:rPr>
            </w:pPr>
            <w:r w:rsidRPr="00B96287">
              <w:rPr>
                <w:sz w:val="22"/>
                <w:szCs w:val="22"/>
              </w:rPr>
              <w:t>январь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B96287" w:rsidRPr="00B96287" w:rsidRDefault="00B96287" w:rsidP="00B96287">
            <w:pPr>
              <w:jc w:val="center"/>
              <w:rPr>
                <w:sz w:val="22"/>
                <w:szCs w:val="22"/>
              </w:rPr>
            </w:pPr>
            <w:r w:rsidRPr="00B96287">
              <w:rPr>
                <w:sz w:val="22"/>
                <w:szCs w:val="22"/>
              </w:rPr>
              <w:t>Диапазон цен</w:t>
            </w:r>
          </w:p>
        </w:tc>
      </w:tr>
      <w:tr w:rsidR="00B96287" w:rsidRPr="00B96287" w:rsidTr="00B9628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96287" w:rsidRPr="00B96287" w:rsidRDefault="00B96287" w:rsidP="00B96287">
            <w:pPr>
              <w:rPr>
                <w:sz w:val="22"/>
                <w:szCs w:val="22"/>
              </w:rPr>
            </w:pPr>
            <w:r w:rsidRPr="00B96287">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18 612</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16 217</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14 879</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15 866</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16 852</w:t>
            </w:r>
          </w:p>
        </w:tc>
        <w:tc>
          <w:tcPr>
            <w:tcW w:w="540" w:type="pct"/>
            <w:tcBorders>
              <w:top w:val="nil"/>
              <w:left w:val="nil"/>
              <w:bottom w:val="single" w:sz="4" w:space="0" w:color="auto"/>
              <w:right w:val="single" w:sz="4" w:space="0" w:color="auto"/>
            </w:tcBorders>
            <w:shd w:val="clear" w:color="auto" w:fill="auto"/>
            <w:noWrap/>
            <w:vAlign w:val="center"/>
            <w:hideMark/>
          </w:tcPr>
          <w:p w:rsidR="00B96287" w:rsidRPr="00B96287" w:rsidRDefault="00B96287" w:rsidP="00B96287">
            <w:pPr>
              <w:jc w:val="center"/>
              <w:rPr>
                <w:b/>
                <w:bCs/>
                <w:sz w:val="22"/>
                <w:szCs w:val="22"/>
              </w:rPr>
            </w:pPr>
            <w:r w:rsidRPr="00B96287">
              <w:rPr>
                <w:b/>
                <w:bCs/>
                <w:sz w:val="22"/>
                <w:szCs w:val="22"/>
              </w:rPr>
              <w:t>16 034</w:t>
            </w:r>
          </w:p>
        </w:tc>
        <w:tc>
          <w:tcPr>
            <w:tcW w:w="865" w:type="pct"/>
            <w:tcBorders>
              <w:top w:val="nil"/>
              <w:left w:val="nil"/>
              <w:bottom w:val="single" w:sz="4" w:space="0" w:color="auto"/>
              <w:right w:val="single" w:sz="4" w:space="0" w:color="auto"/>
            </w:tcBorders>
            <w:shd w:val="clear" w:color="000000" w:fill="CCFFFF"/>
            <w:noWrap/>
            <w:vAlign w:val="center"/>
            <w:hideMark/>
          </w:tcPr>
          <w:p w:rsidR="00B96287" w:rsidRPr="00B96287" w:rsidRDefault="00B96287" w:rsidP="00B96287">
            <w:pPr>
              <w:jc w:val="center"/>
              <w:rPr>
                <w:sz w:val="22"/>
                <w:szCs w:val="22"/>
              </w:rPr>
            </w:pPr>
            <w:r w:rsidRPr="00B96287">
              <w:rPr>
                <w:sz w:val="22"/>
                <w:szCs w:val="22"/>
              </w:rPr>
              <w:t>6061-25385</w:t>
            </w:r>
          </w:p>
        </w:tc>
      </w:tr>
      <w:tr w:rsidR="00B96287" w:rsidRPr="00B96287" w:rsidTr="00B9628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96287" w:rsidRPr="00B96287" w:rsidRDefault="00B96287" w:rsidP="00B96287">
            <w:pPr>
              <w:rPr>
                <w:sz w:val="22"/>
                <w:szCs w:val="22"/>
              </w:rPr>
            </w:pPr>
            <w:r w:rsidRPr="00B96287">
              <w:rPr>
                <w:sz w:val="22"/>
                <w:szCs w:val="22"/>
              </w:rPr>
              <w:t>Изменение</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125%</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109%</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100%</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107%</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114%</w:t>
            </w:r>
          </w:p>
        </w:tc>
        <w:tc>
          <w:tcPr>
            <w:tcW w:w="540" w:type="pct"/>
            <w:tcBorders>
              <w:top w:val="nil"/>
              <w:left w:val="nil"/>
              <w:bottom w:val="single" w:sz="4" w:space="0" w:color="auto"/>
              <w:right w:val="single" w:sz="4" w:space="0" w:color="auto"/>
            </w:tcBorders>
            <w:shd w:val="clear" w:color="000000" w:fill="CCFFCC"/>
            <w:noWrap/>
            <w:vAlign w:val="center"/>
            <w:hideMark/>
          </w:tcPr>
          <w:p w:rsidR="00B96287" w:rsidRPr="00B96287" w:rsidRDefault="00B96287" w:rsidP="00B96287">
            <w:pPr>
              <w:jc w:val="center"/>
              <w:rPr>
                <w:b/>
                <w:bCs/>
                <w:sz w:val="22"/>
                <w:szCs w:val="22"/>
              </w:rPr>
            </w:pPr>
            <w:r w:rsidRPr="00B96287">
              <w:rPr>
                <w:b/>
                <w:bCs/>
                <w:sz w:val="22"/>
                <w:szCs w:val="22"/>
              </w:rPr>
              <w:t>108%</w:t>
            </w:r>
          </w:p>
        </w:tc>
        <w:tc>
          <w:tcPr>
            <w:tcW w:w="865" w:type="pct"/>
            <w:tcBorders>
              <w:top w:val="nil"/>
              <w:left w:val="nil"/>
              <w:bottom w:val="single" w:sz="4" w:space="0" w:color="auto"/>
              <w:right w:val="single" w:sz="4" w:space="0" w:color="auto"/>
            </w:tcBorders>
            <w:shd w:val="clear" w:color="000000" w:fill="CCFFFF"/>
            <w:noWrap/>
            <w:vAlign w:val="center"/>
            <w:hideMark/>
          </w:tcPr>
          <w:p w:rsidR="00B96287" w:rsidRPr="00B96287" w:rsidRDefault="00B96287" w:rsidP="00B96287">
            <w:pPr>
              <w:jc w:val="center"/>
              <w:rPr>
                <w:b/>
                <w:bCs/>
                <w:sz w:val="22"/>
                <w:szCs w:val="22"/>
              </w:rPr>
            </w:pPr>
            <w:r w:rsidRPr="00B96287">
              <w:rPr>
                <w:b/>
                <w:bCs/>
                <w:sz w:val="22"/>
                <w:szCs w:val="22"/>
              </w:rPr>
              <w:t>-</w:t>
            </w:r>
          </w:p>
        </w:tc>
      </w:tr>
    </w:tbl>
    <w:p w:rsidR="00D92C9C" w:rsidRDefault="00D92C9C" w:rsidP="003E330D">
      <w:pPr>
        <w:pStyle w:val="aa"/>
        <w:jc w:val="center"/>
        <w:rPr>
          <w:b w:val="0"/>
          <w:i/>
          <w:sz w:val="24"/>
          <w:szCs w:val="24"/>
        </w:rPr>
      </w:pPr>
    </w:p>
    <w:p w:rsidR="003E330D" w:rsidRPr="00DF65FB" w:rsidRDefault="003E330D" w:rsidP="003E330D">
      <w:pPr>
        <w:pStyle w:val="aa"/>
        <w:jc w:val="center"/>
        <w:rPr>
          <w:b w:val="0"/>
          <w:i/>
          <w:spacing w:val="-6"/>
          <w:sz w:val="24"/>
          <w:szCs w:val="24"/>
        </w:rPr>
      </w:pPr>
      <w:r w:rsidRPr="00DF65FB">
        <w:rPr>
          <w:b w:val="0"/>
          <w:i/>
          <w:sz w:val="24"/>
          <w:szCs w:val="24"/>
        </w:rPr>
        <w:t xml:space="preserve">Таблица </w:t>
      </w:r>
      <w:r w:rsidR="007D3147" w:rsidRPr="00DF65FB">
        <w:rPr>
          <w:b w:val="0"/>
          <w:i/>
          <w:sz w:val="24"/>
          <w:szCs w:val="24"/>
        </w:rPr>
        <w:fldChar w:fldCharType="begin"/>
      </w:r>
      <w:r w:rsidRPr="00DF65FB">
        <w:rPr>
          <w:b w:val="0"/>
          <w:i/>
          <w:sz w:val="24"/>
          <w:szCs w:val="24"/>
        </w:rPr>
        <w:instrText xml:space="preserve"> SEQ Таблица \* ARABIC </w:instrText>
      </w:r>
      <w:r w:rsidR="007D3147" w:rsidRPr="00DF65FB">
        <w:rPr>
          <w:b w:val="0"/>
          <w:i/>
          <w:sz w:val="24"/>
          <w:szCs w:val="24"/>
        </w:rPr>
        <w:fldChar w:fldCharType="separate"/>
      </w:r>
      <w:r w:rsidR="00607E85">
        <w:rPr>
          <w:b w:val="0"/>
          <w:i/>
          <w:noProof/>
          <w:sz w:val="24"/>
          <w:szCs w:val="24"/>
        </w:rPr>
        <w:t>1</w:t>
      </w:r>
      <w:r w:rsidR="007D3147" w:rsidRPr="00DF65FB">
        <w:rPr>
          <w:b w:val="0"/>
          <w:i/>
          <w:sz w:val="24"/>
          <w:szCs w:val="24"/>
        </w:rPr>
        <w:fldChar w:fldCharType="end"/>
      </w:r>
      <w:r w:rsidRPr="00DF65FB">
        <w:rPr>
          <w:b w:val="0"/>
          <w:i/>
          <w:sz w:val="24"/>
          <w:szCs w:val="24"/>
        </w:rPr>
        <w:t xml:space="preserve"> – </w:t>
      </w:r>
      <w:r w:rsidR="00D92C9C">
        <w:rPr>
          <w:b w:val="0"/>
          <w:i/>
          <w:sz w:val="24"/>
          <w:szCs w:val="24"/>
        </w:rPr>
        <w:t>Краткосрочная д</w:t>
      </w:r>
      <w:r w:rsidRPr="00DF65FB">
        <w:rPr>
          <w:b w:val="0"/>
          <w:i/>
          <w:sz w:val="24"/>
          <w:szCs w:val="24"/>
        </w:rPr>
        <w:t>инамика</w:t>
      </w:r>
      <w:r w:rsidR="00B615FD" w:rsidRPr="00DF65FB">
        <w:rPr>
          <w:b w:val="0"/>
          <w:i/>
          <w:sz w:val="24"/>
          <w:szCs w:val="24"/>
        </w:rPr>
        <w:t xml:space="preserve"> средних</w:t>
      </w:r>
      <w:r w:rsidRPr="00DF65FB">
        <w:rPr>
          <w:b w:val="0"/>
          <w:i/>
          <w:sz w:val="24"/>
          <w:szCs w:val="24"/>
        </w:rPr>
        <w:t xml:space="preserve"> </w:t>
      </w:r>
      <w:r w:rsidRPr="00DF65FB">
        <w:rPr>
          <w:b w:val="0"/>
          <w:i/>
          <w:spacing w:val="-6"/>
          <w:sz w:val="24"/>
          <w:szCs w:val="24"/>
        </w:rPr>
        <w:t>цен предложений продажи</w:t>
      </w:r>
      <w:r w:rsidRPr="00DF65FB">
        <w:rPr>
          <w:b w:val="0"/>
          <w:i/>
          <w:sz w:val="24"/>
          <w:szCs w:val="24"/>
        </w:rPr>
        <w:t xml:space="preserve"> производственно-складской недвижимости</w:t>
      </w:r>
      <w:r w:rsidR="00A541D9" w:rsidRPr="00DF65FB">
        <w:rPr>
          <w:b w:val="0"/>
          <w:i/>
          <w:sz w:val="24"/>
          <w:szCs w:val="24"/>
        </w:rPr>
        <w:t>, руб.</w:t>
      </w:r>
      <w:r w:rsidR="00900C60">
        <w:rPr>
          <w:b w:val="0"/>
          <w:i/>
          <w:sz w:val="24"/>
          <w:szCs w:val="24"/>
        </w:rPr>
        <w:t>/кв</w:t>
      </w:r>
      <w:proofErr w:type="gramStart"/>
      <w:r w:rsidR="00900C60">
        <w:rPr>
          <w:b w:val="0"/>
          <w:i/>
          <w:sz w:val="24"/>
          <w:szCs w:val="24"/>
        </w:rPr>
        <w:t>.м</w:t>
      </w:r>
      <w:proofErr w:type="gramEnd"/>
    </w:p>
    <w:p w:rsidR="000B5279" w:rsidRPr="004348D2" w:rsidRDefault="000B5279" w:rsidP="003E330D">
      <w:pPr>
        <w:ind w:firstLine="540"/>
        <w:jc w:val="both"/>
        <w:rPr>
          <w:sz w:val="20"/>
          <w:szCs w:val="20"/>
        </w:rPr>
      </w:pPr>
    </w:p>
    <w:p w:rsidR="003E330D" w:rsidRDefault="00D92C9C"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5</w:t>
      </w:r>
    </w:p>
    <w:p w:rsidR="00B615FD" w:rsidRDefault="00B615FD" w:rsidP="003E330D">
      <w:pPr>
        <w:ind w:firstLine="709"/>
        <w:jc w:val="both"/>
      </w:pPr>
    </w:p>
    <w:p w:rsidR="003E330D" w:rsidRPr="00633CCA" w:rsidRDefault="00B96287" w:rsidP="003E330D">
      <w:pPr>
        <w:ind w:firstLine="540"/>
        <w:jc w:val="center"/>
      </w:pPr>
      <w:r w:rsidRPr="00B96287">
        <w:drawing>
          <wp:inline distT="0" distB="0" distL="0" distR="0">
            <wp:extent cx="5984875" cy="2239963"/>
            <wp:effectExtent l="19050" t="0" r="15875" b="7937"/>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30D" w:rsidRPr="00C11E72" w:rsidRDefault="003E330D" w:rsidP="003E330D">
      <w:pPr>
        <w:pStyle w:val="aa"/>
        <w:ind w:firstLine="540"/>
        <w:jc w:val="center"/>
        <w:rPr>
          <w:b w:val="0"/>
          <w:i/>
          <w:sz w:val="24"/>
          <w:szCs w:val="24"/>
        </w:rPr>
      </w:pPr>
      <w:r w:rsidRPr="0066391A">
        <w:rPr>
          <w:b w:val="0"/>
          <w:i/>
          <w:sz w:val="24"/>
          <w:szCs w:val="24"/>
        </w:rPr>
        <w:t>Рисунок</w:t>
      </w:r>
      <w:r>
        <w:rPr>
          <w:b w:val="0"/>
          <w:i/>
          <w:sz w:val="24"/>
          <w:szCs w:val="24"/>
        </w:rPr>
        <w:t xml:space="preserve"> </w:t>
      </w:r>
      <w:r w:rsidR="00D92C9C">
        <w:rPr>
          <w:b w:val="0"/>
          <w:i/>
          <w:sz w:val="24"/>
          <w:szCs w:val="24"/>
        </w:rPr>
        <w:t>5</w:t>
      </w:r>
      <w:r w:rsidRPr="0066391A">
        <w:rPr>
          <w:b w:val="0"/>
          <w:i/>
          <w:sz w:val="24"/>
          <w:szCs w:val="24"/>
        </w:rPr>
        <w:t xml:space="preserve"> – </w:t>
      </w:r>
      <w:r w:rsidR="00D92C9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3E330D" w:rsidRPr="00C11E72" w:rsidRDefault="003E330D" w:rsidP="003E330D">
      <w:pPr>
        <w:ind w:firstLine="540"/>
        <w:jc w:val="center"/>
        <w:rPr>
          <w:i/>
        </w:rPr>
      </w:pPr>
    </w:p>
    <w:p w:rsidR="003E330D" w:rsidRDefault="00633CCA"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6</w:t>
      </w:r>
      <w:r w:rsidR="003E330D" w:rsidRPr="00B03E52">
        <w:t>.</w:t>
      </w:r>
    </w:p>
    <w:p w:rsidR="003E330D" w:rsidRPr="00633CCA" w:rsidRDefault="00B96287" w:rsidP="003E330D">
      <w:pPr>
        <w:ind w:firstLine="540"/>
        <w:jc w:val="center"/>
      </w:pPr>
      <w:r w:rsidRPr="00B96287">
        <w:drawing>
          <wp:inline distT="0" distB="0" distL="0" distR="0">
            <wp:extent cx="6068219" cy="2106613"/>
            <wp:effectExtent l="19050" t="0" r="27781" b="7937"/>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229" w:rsidRPr="00FC25A9" w:rsidRDefault="003E330D" w:rsidP="00FC25A9">
      <w:pPr>
        <w:pStyle w:val="aa"/>
        <w:jc w:val="center"/>
        <w:rPr>
          <w:b w:val="0"/>
          <w:i/>
          <w:sz w:val="24"/>
          <w:szCs w:val="24"/>
        </w:rPr>
      </w:pPr>
      <w:r w:rsidRPr="00896418">
        <w:rPr>
          <w:b w:val="0"/>
          <w:i/>
          <w:sz w:val="24"/>
          <w:szCs w:val="24"/>
        </w:rPr>
        <w:t xml:space="preserve">Рисунок </w:t>
      </w:r>
      <w:r w:rsidR="00633CCA">
        <w:rPr>
          <w:b w:val="0"/>
          <w:i/>
          <w:sz w:val="24"/>
          <w:szCs w:val="24"/>
        </w:rPr>
        <w:t>6</w:t>
      </w:r>
      <w:r w:rsidRPr="00896418">
        <w:rPr>
          <w:b w:val="0"/>
          <w:i/>
          <w:sz w:val="24"/>
          <w:szCs w:val="24"/>
        </w:rPr>
        <w:t xml:space="preserve"> – </w:t>
      </w:r>
      <w:r w:rsidR="00633CCA">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CB147F" w:rsidRDefault="00CB147F" w:rsidP="00AC3ADB">
      <w:pPr>
        <w:rPr>
          <w:b/>
        </w:rPr>
      </w:pPr>
    </w:p>
    <w:p w:rsidR="003E330D" w:rsidRPr="00FD658D" w:rsidRDefault="003E330D" w:rsidP="00EB4F6D">
      <w:pPr>
        <w:ind w:firstLine="709"/>
        <w:jc w:val="center"/>
        <w:rPr>
          <w:b/>
        </w:rPr>
      </w:pPr>
      <w:r>
        <w:rPr>
          <w:b/>
        </w:rPr>
        <w:t>Аренд</w:t>
      </w:r>
      <w:r w:rsidRPr="00FD658D">
        <w:rPr>
          <w:b/>
        </w:rPr>
        <w:t xml:space="preserve">а </w:t>
      </w:r>
      <w:r>
        <w:rPr>
          <w:b/>
        </w:rPr>
        <w:t>производственно-складской</w:t>
      </w:r>
      <w:r w:rsidRPr="00FD658D">
        <w:rPr>
          <w:b/>
        </w:rPr>
        <w:t xml:space="preserve"> недвижимости</w:t>
      </w:r>
    </w:p>
    <w:p w:rsidR="003E330D" w:rsidRDefault="003E330D" w:rsidP="003E330D">
      <w:pPr>
        <w:ind w:firstLine="709"/>
        <w:jc w:val="both"/>
      </w:pPr>
    </w:p>
    <w:p w:rsidR="00E65FE4" w:rsidRDefault="003E330D" w:rsidP="008511AC">
      <w:pPr>
        <w:ind w:firstLine="709"/>
        <w:jc w:val="both"/>
      </w:pPr>
      <w:r>
        <w:t>Структура предложений аренды в выделенных сегментах коммерческой недвижимости</w:t>
      </w:r>
      <w:r w:rsidR="00DF65FB">
        <w:t xml:space="preserve"> </w:t>
      </w:r>
      <w:r>
        <w:t xml:space="preserve">по функциональному назначению представлена на рисунке </w:t>
      </w:r>
      <w:r w:rsidR="00683111">
        <w:t>7</w:t>
      </w:r>
      <w:r>
        <w:t>.</w:t>
      </w:r>
    </w:p>
    <w:p w:rsidR="003E330D" w:rsidRPr="00683111" w:rsidRDefault="007E7DBE" w:rsidP="003E330D">
      <w:pPr>
        <w:jc w:val="center"/>
      </w:pPr>
      <w:r w:rsidRPr="007E7DBE">
        <w:rPr>
          <w:noProof/>
        </w:rPr>
        <w:drawing>
          <wp:inline distT="0" distB="0" distL="0" distR="0">
            <wp:extent cx="2297888" cy="2195859"/>
            <wp:effectExtent l="19050" t="0" r="26212"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30D" w:rsidRPr="008E52D3" w:rsidRDefault="003E330D" w:rsidP="008E52D3">
      <w:pPr>
        <w:pStyle w:val="aa"/>
        <w:jc w:val="center"/>
        <w:rPr>
          <w:b w:val="0"/>
          <w:i/>
          <w:sz w:val="24"/>
          <w:szCs w:val="24"/>
        </w:rPr>
      </w:pPr>
      <w:r w:rsidRPr="00BA4A7B">
        <w:rPr>
          <w:b w:val="0"/>
          <w:i/>
          <w:sz w:val="24"/>
          <w:szCs w:val="24"/>
        </w:rPr>
        <w:t xml:space="preserve">Рисунок </w:t>
      </w:r>
      <w:r w:rsidR="00683111">
        <w:rPr>
          <w:b w:val="0"/>
          <w:i/>
          <w:sz w:val="24"/>
          <w:szCs w:val="24"/>
        </w:rPr>
        <w:t>7</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DF65FB" w:rsidRPr="005D298D" w:rsidRDefault="00DF65FB" w:rsidP="00DF65FB">
      <w:pPr>
        <w:ind w:firstLine="540"/>
        <w:jc w:val="both"/>
      </w:pPr>
      <w:r w:rsidRPr="00DD6E97">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8511AC">
        <w:t>офисн</w:t>
      </w:r>
      <w:r w:rsidR="00F708CA">
        <w:t>ого</w:t>
      </w:r>
      <w:r w:rsidR="00CA6FDF">
        <w:t xml:space="preserve"> </w:t>
      </w:r>
      <w:r w:rsidRPr="00086760">
        <w:t>назначения</w:t>
      </w:r>
      <w:r w:rsidR="0060614A">
        <w:t xml:space="preserve"> –</w:t>
      </w:r>
      <w:r w:rsidR="007E7DBE">
        <w:t xml:space="preserve"> 47</w:t>
      </w:r>
      <w:r w:rsidRPr="00086760">
        <w:t xml:space="preserve">%, а наименее выставляемыми объекты </w:t>
      </w:r>
      <w:r w:rsidR="00B84C82">
        <w:t>недвижимости производственно-складского</w:t>
      </w:r>
      <w:r w:rsidR="006D5725">
        <w:t xml:space="preserve"> назначения</w:t>
      </w:r>
      <w:r w:rsidR="004042FD">
        <w:t xml:space="preserve"> </w:t>
      </w:r>
      <w:r w:rsidR="007E7DBE">
        <w:t>– 18</w:t>
      </w:r>
      <w:r w:rsidR="000A4C72">
        <w:t>%</w:t>
      </w:r>
      <w:r w:rsidRPr="00086760">
        <w:t>.</w:t>
      </w:r>
    </w:p>
    <w:p w:rsidR="003E330D" w:rsidRPr="00F82A7A" w:rsidRDefault="003E330D" w:rsidP="003E330D">
      <w:pPr>
        <w:ind w:firstLine="709"/>
        <w:jc w:val="both"/>
        <w:rPr>
          <w:spacing w:val="-6"/>
        </w:rPr>
      </w:pPr>
      <w:r w:rsidRPr="00F82A7A">
        <w:rPr>
          <w:spacing w:val="-6"/>
        </w:rPr>
        <w:t xml:space="preserve">В </w:t>
      </w:r>
      <w:r w:rsidR="007E7DBE">
        <w:rPr>
          <w:spacing w:val="-6"/>
        </w:rPr>
        <w:t>янва</w:t>
      </w:r>
      <w:r w:rsidR="00AC3ADB">
        <w:rPr>
          <w:spacing w:val="-6"/>
        </w:rPr>
        <w:t>ре</w:t>
      </w:r>
      <w:r w:rsidR="007E7DBE">
        <w:rPr>
          <w:spacing w:val="-6"/>
        </w:rPr>
        <w:t xml:space="preserve"> 2020</w:t>
      </w:r>
      <w:r w:rsidRPr="00F82A7A">
        <w:rPr>
          <w:spacing w:val="-6"/>
        </w:rPr>
        <w:t xml:space="preserve"> года средн</w:t>
      </w:r>
      <w:r w:rsidR="00B615FD" w:rsidRPr="00F82A7A">
        <w:rPr>
          <w:spacing w:val="-6"/>
        </w:rPr>
        <w:t>я</w:t>
      </w:r>
      <w:r w:rsidRPr="00F82A7A">
        <w:rPr>
          <w:spacing w:val="-6"/>
        </w:rPr>
        <w:t xml:space="preserve">я цена предложений аренды производственно-складской недвижимости составила </w:t>
      </w:r>
      <w:r w:rsidR="007E7DBE">
        <w:rPr>
          <w:spacing w:val="-6"/>
        </w:rPr>
        <w:t>148</w:t>
      </w:r>
      <w:r w:rsidRPr="00F82A7A">
        <w:rPr>
          <w:spacing w:val="-6"/>
        </w:rPr>
        <w:t xml:space="preserve"> руб./кв. м/мес. </w:t>
      </w:r>
      <w:r w:rsidR="00F93AF0">
        <w:rPr>
          <w:spacing w:val="-6"/>
        </w:rPr>
        <w:t>с</w:t>
      </w:r>
      <w:r w:rsidR="00F93AF0" w:rsidRPr="00F93AF0">
        <w:rPr>
          <w:spacing w:val="-6"/>
        </w:rPr>
        <w:t>тандартная ошибка</w:t>
      </w:r>
      <w:r w:rsidRPr="00F82A7A">
        <w:rPr>
          <w:spacing w:val="-6"/>
        </w:rPr>
        <w:t xml:space="preserve"> </w:t>
      </w:r>
      <w:r w:rsidR="007E7DBE">
        <w:rPr>
          <w:spacing w:val="-6"/>
        </w:rPr>
        <w:t>8</w:t>
      </w:r>
      <w:r w:rsidRPr="00F82A7A">
        <w:rPr>
          <w:spacing w:val="-6"/>
        </w:rPr>
        <w:t xml:space="preserve">%, изменение к предыдущему месяцу </w:t>
      </w:r>
      <w:r w:rsidR="007E7DBE">
        <w:rPr>
          <w:spacing w:val="-6"/>
        </w:rPr>
        <w:t>6,1</w:t>
      </w:r>
      <w:r w:rsidR="00424E62">
        <w:rPr>
          <w:spacing w:val="-6"/>
        </w:rPr>
        <w:t>%</w:t>
      </w:r>
      <w:r w:rsidRPr="00F82A7A">
        <w:rPr>
          <w:spacing w:val="-6"/>
        </w:rPr>
        <w:t>. Средн</w:t>
      </w:r>
      <w:r w:rsidR="00B615FD" w:rsidRPr="00F82A7A">
        <w:rPr>
          <w:spacing w:val="-6"/>
        </w:rPr>
        <w:t>я</w:t>
      </w:r>
      <w:r w:rsidRPr="00F82A7A">
        <w:rPr>
          <w:spacing w:val="-6"/>
        </w:rPr>
        <w:t>я цена предложений аренды</w:t>
      </w:r>
      <w:r w:rsidRPr="00F82A7A">
        <w:t xml:space="preserve"> 1 кв. м/мес. производственно-складской недвижимости колебалась в пределах от </w:t>
      </w:r>
      <w:r w:rsidR="00AC3ADB">
        <w:t>7</w:t>
      </w:r>
      <w:r w:rsidR="00B84C82">
        <w:t>8</w:t>
      </w:r>
      <w:r w:rsidRPr="00F82A7A">
        <w:t xml:space="preserve"> руб. до </w:t>
      </w:r>
      <w:r w:rsidR="00AC3ADB">
        <w:t>383</w:t>
      </w:r>
      <w:r w:rsidRPr="00F82A7A">
        <w:t xml:space="preserve"> руб. в зависимости от </w:t>
      </w:r>
      <w:proofErr w:type="spellStart"/>
      <w:r w:rsidRPr="00F82A7A">
        <w:t>ценообразующих</w:t>
      </w:r>
      <w:proofErr w:type="spellEnd"/>
      <w:r w:rsidRPr="00F82A7A">
        <w:t xml:space="preserve"> факторов.</w:t>
      </w:r>
    </w:p>
    <w:p w:rsidR="00EC7049" w:rsidRDefault="00EC7049"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Цена предложения аренды</w:t>
            </w:r>
            <w:r w:rsidRPr="008E52D3">
              <w:rPr>
                <w:i/>
                <w:sz w:val="20"/>
                <w:szCs w:val="20"/>
              </w:rPr>
              <w:t xml:space="preserve"> единого объекта недвижимости производств</w:t>
            </w:r>
            <w:r w:rsidR="00196A13">
              <w:rPr>
                <w:i/>
                <w:sz w:val="20"/>
                <w:szCs w:val="20"/>
              </w:rPr>
              <w:t xml:space="preserve">енно-складского назначения, </w:t>
            </w:r>
            <w:r w:rsidRPr="008E52D3">
              <w:rPr>
                <w:i/>
                <w:sz w:val="20"/>
                <w:szCs w:val="20"/>
              </w:rPr>
              <w:t>руб./мес.</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7E7DBE" w:rsidP="00A20FEE">
            <w:pPr>
              <w:jc w:val="center"/>
              <w:rPr>
                <w:sz w:val="20"/>
                <w:szCs w:val="20"/>
              </w:rPr>
            </w:pPr>
            <w:r>
              <w:rPr>
                <w:sz w:val="20"/>
                <w:szCs w:val="20"/>
              </w:rPr>
              <w:t>94 856</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ED0003">
            <w:pPr>
              <w:jc w:val="center"/>
              <w:rPr>
                <w:sz w:val="20"/>
                <w:szCs w:val="20"/>
              </w:rPr>
            </w:pPr>
            <w:r>
              <w:rPr>
                <w:sz w:val="20"/>
                <w:szCs w:val="20"/>
              </w:rPr>
              <w:t>620 200</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7E7DBE" w:rsidP="00515B83">
            <w:pPr>
              <w:jc w:val="center"/>
              <w:rPr>
                <w:sz w:val="20"/>
                <w:szCs w:val="20"/>
              </w:rPr>
            </w:pPr>
            <w:r>
              <w:rPr>
                <w:sz w:val="20"/>
                <w:szCs w:val="20"/>
              </w:rPr>
              <w:t>7 8</w:t>
            </w:r>
            <w:r w:rsidR="00196A13">
              <w:rPr>
                <w:sz w:val="20"/>
                <w:szCs w:val="20"/>
              </w:rPr>
              <w:t>00</w:t>
            </w:r>
          </w:p>
        </w:tc>
      </w:tr>
    </w:tbl>
    <w:p w:rsidR="00EC7049" w:rsidRDefault="00EC7049" w:rsidP="00EC7049">
      <w:pPr>
        <w:ind w:firstLine="709"/>
        <w:jc w:val="both"/>
      </w:pPr>
    </w:p>
    <w:p w:rsidR="00A77026" w:rsidRDefault="00A77026"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 xml:space="preserve">Общая площадь предложения аренды </w:t>
            </w:r>
            <w:r w:rsidRPr="008E52D3">
              <w:rPr>
                <w:i/>
                <w:sz w:val="20"/>
                <w:szCs w:val="20"/>
              </w:rPr>
              <w:t>единого объекта недвижимости производственно-складского назначения, кв</w:t>
            </w:r>
            <w:proofErr w:type="gramStart"/>
            <w:r w:rsidRPr="008E52D3">
              <w:rPr>
                <w:i/>
                <w:sz w:val="20"/>
                <w:szCs w:val="20"/>
              </w:rPr>
              <w:t>.м</w:t>
            </w:r>
            <w:proofErr w:type="gramEnd"/>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B84C82" w:rsidP="00ED0003">
            <w:pPr>
              <w:jc w:val="center"/>
              <w:rPr>
                <w:sz w:val="20"/>
                <w:szCs w:val="20"/>
              </w:rPr>
            </w:pPr>
            <w:r>
              <w:rPr>
                <w:sz w:val="20"/>
                <w:szCs w:val="20"/>
              </w:rPr>
              <w:t>57</w:t>
            </w:r>
            <w:r w:rsidR="007E7DBE">
              <w:rPr>
                <w:sz w:val="20"/>
                <w:szCs w:val="20"/>
              </w:rPr>
              <w:t>4</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515B83">
            <w:pPr>
              <w:jc w:val="center"/>
              <w:rPr>
                <w:sz w:val="20"/>
                <w:szCs w:val="20"/>
              </w:rPr>
            </w:pPr>
            <w:r>
              <w:rPr>
                <w:sz w:val="20"/>
                <w:szCs w:val="20"/>
              </w:rPr>
              <w:t>2 215</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7E7DBE" w:rsidP="003C15D8">
            <w:pPr>
              <w:jc w:val="center"/>
              <w:rPr>
                <w:sz w:val="20"/>
                <w:szCs w:val="20"/>
              </w:rPr>
            </w:pPr>
            <w:r>
              <w:rPr>
                <w:sz w:val="20"/>
                <w:szCs w:val="20"/>
              </w:rPr>
              <w:t>65</w:t>
            </w:r>
          </w:p>
        </w:tc>
      </w:tr>
    </w:tbl>
    <w:p w:rsidR="00EC7049" w:rsidRDefault="00EC7049" w:rsidP="00EC7049">
      <w:pPr>
        <w:ind w:firstLine="709"/>
        <w:jc w:val="both"/>
      </w:pPr>
    </w:p>
    <w:p w:rsidR="00683111" w:rsidRDefault="00683111" w:rsidP="008E52D3">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F45689" w:rsidRDefault="00683111" w:rsidP="008E52D3">
      <w:pPr>
        <w:ind w:firstLine="540"/>
        <w:jc w:val="both"/>
        <w:rPr>
          <w:spacing w:val="-6"/>
        </w:rPr>
      </w:pPr>
      <w:r>
        <w:rPr>
          <w:spacing w:val="-6"/>
        </w:rPr>
        <w:t>Долгосрочная динамика представлена на рисунках 8 и 9.</w:t>
      </w:r>
    </w:p>
    <w:p w:rsidR="00683111" w:rsidRDefault="00B84C82" w:rsidP="00683111">
      <w:pPr>
        <w:ind w:firstLine="709"/>
        <w:jc w:val="center"/>
        <w:rPr>
          <w:spacing w:val="-6"/>
        </w:rPr>
      </w:pPr>
      <w:r w:rsidRPr="00B84C82">
        <w:rPr>
          <w:noProof/>
          <w:spacing w:val="-6"/>
        </w:rPr>
        <w:drawing>
          <wp:inline distT="0" distB="0" distL="0" distR="0">
            <wp:extent cx="5524500" cy="1847849"/>
            <wp:effectExtent l="19050" t="0" r="19050" b="1"/>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49" w:rsidRPr="008E52D3" w:rsidRDefault="00683111" w:rsidP="008E52D3">
      <w:pPr>
        <w:pStyle w:val="aa"/>
        <w:ind w:firstLine="540"/>
        <w:jc w:val="center"/>
        <w:rPr>
          <w:b w:val="0"/>
          <w:i/>
          <w:sz w:val="24"/>
          <w:szCs w:val="24"/>
        </w:rPr>
      </w:pPr>
      <w:r w:rsidRPr="0066391A">
        <w:rPr>
          <w:b w:val="0"/>
          <w:i/>
          <w:sz w:val="24"/>
          <w:szCs w:val="24"/>
        </w:rPr>
        <w:t xml:space="preserve">Рисунок </w:t>
      </w:r>
      <w:r>
        <w:rPr>
          <w:b w:val="0"/>
          <w:i/>
          <w:sz w:val="24"/>
          <w:szCs w:val="24"/>
        </w:rPr>
        <w:t>8</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683111" w:rsidRDefault="00683111" w:rsidP="00683111">
      <w:pPr>
        <w:ind w:firstLine="709"/>
        <w:jc w:val="both"/>
      </w:pPr>
      <w:r>
        <w:t>З</w:t>
      </w:r>
      <w:r w:rsidRPr="00F82A7A">
        <w:t>а исследуемый интервал времени (с 2009 г. по 201</w:t>
      </w:r>
      <w:r w:rsidR="00B84C82">
        <w:t>9</w:t>
      </w:r>
      <w:r w:rsidRPr="00F82A7A">
        <w:t xml:space="preserve"> г.) средняя цена предложений аренды 1 кв. м/мес. производственно-складской недвижимости выросла на </w:t>
      </w:r>
      <w:r w:rsidR="00034F8F">
        <w:t>37</w:t>
      </w:r>
      <w:r w:rsidRPr="00F82A7A">
        <w:t xml:space="preserve"> руб.</w:t>
      </w:r>
    </w:p>
    <w:p w:rsidR="000371E2" w:rsidRDefault="000371E2" w:rsidP="00683111">
      <w:pPr>
        <w:ind w:firstLine="709"/>
        <w:jc w:val="both"/>
      </w:pPr>
    </w:p>
    <w:p w:rsidR="00683111" w:rsidRDefault="00B84C82" w:rsidP="00683111">
      <w:pPr>
        <w:ind w:firstLine="709"/>
        <w:jc w:val="center"/>
        <w:rPr>
          <w:spacing w:val="-6"/>
        </w:rPr>
      </w:pPr>
      <w:r w:rsidRPr="00B84C82">
        <w:rPr>
          <w:noProof/>
          <w:spacing w:val="-6"/>
        </w:rPr>
        <w:drawing>
          <wp:inline distT="0" distB="0" distL="0" distR="0">
            <wp:extent cx="5760648" cy="1844782"/>
            <wp:effectExtent l="19050" t="0" r="11502" b="3068"/>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11" w:rsidRPr="00896418" w:rsidRDefault="00683111" w:rsidP="00683111">
      <w:pPr>
        <w:pStyle w:val="aa"/>
        <w:jc w:val="center"/>
        <w:rPr>
          <w:b w:val="0"/>
          <w:i/>
          <w:sz w:val="24"/>
          <w:szCs w:val="24"/>
        </w:rPr>
      </w:pPr>
      <w:r w:rsidRPr="00896418">
        <w:rPr>
          <w:b w:val="0"/>
          <w:i/>
          <w:sz w:val="24"/>
          <w:szCs w:val="24"/>
        </w:rPr>
        <w:t xml:space="preserve">Рисунок </w:t>
      </w:r>
      <w:r>
        <w:rPr>
          <w:b w:val="0"/>
          <w:i/>
          <w:sz w:val="24"/>
          <w:szCs w:val="24"/>
        </w:rPr>
        <w:t>9</w:t>
      </w:r>
      <w:r w:rsidRPr="00896418">
        <w:rPr>
          <w:b w:val="0"/>
          <w:i/>
          <w:sz w:val="24"/>
          <w:szCs w:val="24"/>
        </w:rPr>
        <w:t xml:space="preserve">–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EC7049" w:rsidRDefault="00EC7049" w:rsidP="00683111">
      <w:pPr>
        <w:ind w:firstLine="709"/>
        <w:jc w:val="both"/>
      </w:pPr>
    </w:p>
    <w:p w:rsidR="00683111" w:rsidRDefault="00683111" w:rsidP="00683111">
      <w:pPr>
        <w:ind w:firstLine="709"/>
        <w:jc w:val="both"/>
      </w:pPr>
      <w:r>
        <w:t>З</w:t>
      </w:r>
      <w:r w:rsidRPr="00F82A7A">
        <w:t>а исследуемый интервал времени (с 2009 г. по 201</w:t>
      </w:r>
      <w:r w:rsidR="00034F8F">
        <w:t>8</w:t>
      </w:r>
      <w:r w:rsidRPr="00F82A7A">
        <w:t xml:space="preserve"> г.) средняя цена предложений аренды 1 кв. м/мес. производственно-складской недвижимости выросла на </w:t>
      </w:r>
      <w:r w:rsidR="00034F8F">
        <w:t>30</w:t>
      </w:r>
      <w:r w:rsidRPr="00F82A7A">
        <w:t>%.</w:t>
      </w:r>
    </w:p>
    <w:p w:rsidR="00683111" w:rsidRDefault="00683111"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68311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683111">
        <w:rPr>
          <w:spacing w:val="-6"/>
        </w:rPr>
        <w:t>В качестве базиса (100%) используется средний показатель за 2009 год (124 руб./кв</w:t>
      </w:r>
      <w:proofErr w:type="gramStart"/>
      <w:r w:rsidR="00683111">
        <w:rPr>
          <w:spacing w:val="-6"/>
        </w:rPr>
        <w:t>.м</w:t>
      </w:r>
      <w:proofErr w:type="gramEnd"/>
      <w:r w:rsidR="00683111">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6E5B0E" w:rsidRDefault="006E5B0E" w:rsidP="003E330D">
      <w:pPr>
        <w:ind w:firstLine="709"/>
        <w:jc w:val="both"/>
        <w:rPr>
          <w:spacing w:val="-6"/>
        </w:rPr>
      </w:pPr>
    </w:p>
    <w:tbl>
      <w:tblPr>
        <w:tblW w:w="5000" w:type="pct"/>
        <w:tblLook w:val="04A0"/>
      </w:tblPr>
      <w:tblGrid>
        <w:gridCol w:w="1685"/>
        <w:gridCol w:w="1087"/>
        <w:gridCol w:w="1324"/>
        <w:gridCol w:w="1228"/>
        <w:gridCol w:w="1143"/>
        <w:gridCol w:w="1228"/>
        <w:gridCol w:w="1122"/>
        <w:gridCol w:w="1479"/>
      </w:tblGrid>
      <w:tr w:rsidR="007E7DBE" w:rsidRPr="007E7DBE" w:rsidTr="007E7DBE">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sz w:val="22"/>
                <w:szCs w:val="22"/>
              </w:rPr>
            </w:pPr>
            <w:r w:rsidRPr="007E7DBE">
              <w:rPr>
                <w:sz w:val="22"/>
                <w:szCs w:val="22"/>
              </w:rPr>
              <w:t>январь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7E7DBE" w:rsidRPr="007E7DBE" w:rsidRDefault="007E7DBE" w:rsidP="007E7DBE">
            <w:pPr>
              <w:jc w:val="center"/>
              <w:rPr>
                <w:sz w:val="22"/>
                <w:szCs w:val="22"/>
              </w:rPr>
            </w:pPr>
            <w:r w:rsidRPr="007E7DBE">
              <w:rPr>
                <w:sz w:val="22"/>
                <w:szCs w:val="22"/>
              </w:rPr>
              <w:t>Диапазон цен</w:t>
            </w:r>
          </w:p>
        </w:tc>
      </w:tr>
      <w:tr w:rsidR="007E7DBE" w:rsidRPr="007E7DBE" w:rsidTr="007E7DB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E7DBE" w:rsidRPr="007E7DBE" w:rsidRDefault="007E7DBE" w:rsidP="007E7DBE">
            <w:pPr>
              <w:rPr>
                <w:sz w:val="22"/>
                <w:szCs w:val="22"/>
              </w:rPr>
            </w:pPr>
            <w:r w:rsidRPr="007E7DBE">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154</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155</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169</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163</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157</w:t>
            </w:r>
          </w:p>
        </w:tc>
        <w:tc>
          <w:tcPr>
            <w:tcW w:w="540" w:type="pct"/>
            <w:tcBorders>
              <w:top w:val="nil"/>
              <w:left w:val="nil"/>
              <w:bottom w:val="single" w:sz="4" w:space="0" w:color="auto"/>
              <w:right w:val="single" w:sz="4" w:space="0" w:color="auto"/>
            </w:tcBorders>
            <w:shd w:val="clear" w:color="auto" w:fill="auto"/>
            <w:noWrap/>
            <w:vAlign w:val="center"/>
            <w:hideMark/>
          </w:tcPr>
          <w:p w:rsidR="007E7DBE" w:rsidRPr="007E7DBE" w:rsidRDefault="007E7DBE" w:rsidP="007E7DBE">
            <w:pPr>
              <w:jc w:val="center"/>
              <w:rPr>
                <w:b/>
                <w:bCs/>
                <w:sz w:val="22"/>
                <w:szCs w:val="22"/>
              </w:rPr>
            </w:pPr>
            <w:r w:rsidRPr="007E7DBE">
              <w:rPr>
                <w:b/>
                <w:bCs/>
                <w:sz w:val="22"/>
                <w:szCs w:val="22"/>
              </w:rPr>
              <w:t>148</w:t>
            </w:r>
          </w:p>
        </w:tc>
        <w:tc>
          <w:tcPr>
            <w:tcW w:w="865" w:type="pct"/>
            <w:tcBorders>
              <w:top w:val="nil"/>
              <w:left w:val="nil"/>
              <w:bottom w:val="single" w:sz="4" w:space="0" w:color="auto"/>
              <w:right w:val="single" w:sz="4" w:space="0" w:color="auto"/>
            </w:tcBorders>
            <w:shd w:val="clear" w:color="000000" w:fill="FFCC99"/>
            <w:noWrap/>
            <w:vAlign w:val="center"/>
            <w:hideMark/>
          </w:tcPr>
          <w:p w:rsidR="007E7DBE" w:rsidRPr="007E7DBE" w:rsidRDefault="007E7DBE" w:rsidP="007E7DBE">
            <w:pPr>
              <w:jc w:val="center"/>
              <w:rPr>
                <w:sz w:val="22"/>
                <w:szCs w:val="22"/>
              </w:rPr>
            </w:pPr>
            <w:r w:rsidRPr="007E7DBE">
              <w:rPr>
                <w:sz w:val="22"/>
                <w:szCs w:val="22"/>
              </w:rPr>
              <w:t>78-383</w:t>
            </w:r>
          </w:p>
        </w:tc>
      </w:tr>
      <w:tr w:rsidR="007E7DBE" w:rsidRPr="007E7DBE" w:rsidTr="007E7DBE">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E7DBE" w:rsidRPr="007E7DBE" w:rsidRDefault="007E7DBE" w:rsidP="007E7DBE">
            <w:pPr>
              <w:rPr>
                <w:sz w:val="22"/>
                <w:szCs w:val="22"/>
              </w:rPr>
            </w:pPr>
            <w:r w:rsidRPr="007E7DBE">
              <w:rPr>
                <w:sz w:val="22"/>
                <w:szCs w:val="22"/>
              </w:rPr>
              <w:t>Изменение</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124%</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125%</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136%</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132%</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127%</w:t>
            </w:r>
          </w:p>
        </w:tc>
        <w:tc>
          <w:tcPr>
            <w:tcW w:w="540" w:type="pct"/>
            <w:tcBorders>
              <w:top w:val="nil"/>
              <w:left w:val="nil"/>
              <w:bottom w:val="single" w:sz="4" w:space="0" w:color="auto"/>
              <w:right w:val="single" w:sz="4" w:space="0" w:color="auto"/>
            </w:tcBorders>
            <w:shd w:val="clear" w:color="000000" w:fill="FFFF99"/>
            <w:noWrap/>
            <w:vAlign w:val="center"/>
            <w:hideMark/>
          </w:tcPr>
          <w:p w:rsidR="007E7DBE" w:rsidRPr="007E7DBE" w:rsidRDefault="007E7DBE" w:rsidP="007E7DBE">
            <w:pPr>
              <w:jc w:val="center"/>
              <w:rPr>
                <w:b/>
                <w:bCs/>
                <w:sz w:val="22"/>
                <w:szCs w:val="22"/>
              </w:rPr>
            </w:pPr>
            <w:r w:rsidRPr="007E7DBE">
              <w:rPr>
                <w:b/>
                <w:bCs/>
                <w:sz w:val="22"/>
                <w:szCs w:val="22"/>
              </w:rPr>
              <w:t>119%</w:t>
            </w:r>
          </w:p>
        </w:tc>
        <w:tc>
          <w:tcPr>
            <w:tcW w:w="865" w:type="pct"/>
            <w:tcBorders>
              <w:top w:val="nil"/>
              <w:left w:val="nil"/>
              <w:bottom w:val="single" w:sz="4" w:space="0" w:color="auto"/>
              <w:right w:val="single" w:sz="4" w:space="0" w:color="auto"/>
            </w:tcBorders>
            <w:shd w:val="clear" w:color="000000" w:fill="FFCC99"/>
            <w:noWrap/>
            <w:vAlign w:val="center"/>
            <w:hideMark/>
          </w:tcPr>
          <w:p w:rsidR="007E7DBE" w:rsidRPr="007E7DBE" w:rsidRDefault="007E7DBE" w:rsidP="007E7DBE">
            <w:pPr>
              <w:jc w:val="center"/>
              <w:rPr>
                <w:b/>
                <w:bCs/>
                <w:sz w:val="22"/>
                <w:szCs w:val="22"/>
              </w:rPr>
            </w:pPr>
            <w:r w:rsidRPr="007E7DBE">
              <w:rPr>
                <w:b/>
                <w:bCs/>
                <w:sz w:val="22"/>
                <w:szCs w:val="22"/>
              </w:rPr>
              <w:t>-</w:t>
            </w:r>
          </w:p>
        </w:tc>
      </w:tr>
    </w:tbl>
    <w:p w:rsidR="003E330D" w:rsidRDefault="003E330D" w:rsidP="003E330D">
      <w:pPr>
        <w:ind w:firstLine="540"/>
        <w:jc w:val="both"/>
        <w:rPr>
          <w:spacing w:val="-6"/>
        </w:rPr>
      </w:pPr>
    </w:p>
    <w:p w:rsidR="003E330D" w:rsidRPr="00F82A7A" w:rsidRDefault="003E330D" w:rsidP="003E330D">
      <w:pPr>
        <w:pStyle w:val="aa"/>
        <w:jc w:val="center"/>
        <w:rPr>
          <w:b w:val="0"/>
          <w:i/>
          <w:spacing w:val="-6"/>
          <w:sz w:val="24"/>
          <w:szCs w:val="24"/>
        </w:rPr>
      </w:pPr>
      <w:r w:rsidRPr="00F82A7A">
        <w:rPr>
          <w:b w:val="0"/>
          <w:i/>
          <w:sz w:val="24"/>
          <w:szCs w:val="24"/>
        </w:rPr>
        <w:t xml:space="preserve">Таблица </w:t>
      </w:r>
      <w:r w:rsidR="007D3147" w:rsidRPr="00F82A7A">
        <w:rPr>
          <w:b w:val="0"/>
          <w:i/>
          <w:sz w:val="24"/>
          <w:szCs w:val="24"/>
        </w:rPr>
        <w:fldChar w:fldCharType="begin"/>
      </w:r>
      <w:r w:rsidRPr="00F82A7A">
        <w:rPr>
          <w:b w:val="0"/>
          <w:i/>
          <w:sz w:val="24"/>
          <w:szCs w:val="24"/>
        </w:rPr>
        <w:instrText xml:space="preserve"> SEQ Таблица \* ARABIC </w:instrText>
      </w:r>
      <w:r w:rsidR="007D3147" w:rsidRPr="00F82A7A">
        <w:rPr>
          <w:b w:val="0"/>
          <w:i/>
          <w:sz w:val="24"/>
          <w:szCs w:val="24"/>
        </w:rPr>
        <w:fldChar w:fldCharType="separate"/>
      </w:r>
      <w:r w:rsidR="00607E85">
        <w:rPr>
          <w:b w:val="0"/>
          <w:i/>
          <w:noProof/>
          <w:sz w:val="24"/>
          <w:szCs w:val="24"/>
        </w:rPr>
        <w:t>2</w:t>
      </w:r>
      <w:r w:rsidR="007D3147" w:rsidRPr="00F82A7A">
        <w:rPr>
          <w:b w:val="0"/>
          <w:i/>
          <w:sz w:val="24"/>
          <w:szCs w:val="24"/>
        </w:rPr>
        <w:fldChar w:fldCharType="end"/>
      </w:r>
      <w:r w:rsidRPr="00F82A7A">
        <w:rPr>
          <w:b w:val="0"/>
          <w:i/>
          <w:sz w:val="24"/>
          <w:szCs w:val="24"/>
        </w:rPr>
        <w:t xml:space="preserve"> –</w:t>
      </w:r>
      <w:r w:rsidR="00683111">
        <w:rPr>
          <w:b w:val="0"/>
          <w:i/>
          <w:sz w:val="24"/>
          <w:szCs w:val="24"/>
        </w:rPr>
        <w:t xml:space="preserve"> Краткосрочная д</w:t>
      </w:r>
      <w:r w:rsidRPr="00F82A7A">
        <w:rPr>
          <w:b w:val="0"/>
          <w:i/>
          <w:sz w:val="24"/>
          <w:szCs w:val="24"/>
        </w:rPr>
        <w:t xml:space="preserve">инамика </w:t>
      </w:r>
      <w:r w:rsidR="00B615FD" w:rsidRPr="00F82A7A">
        <w:rPr>
          <w:b w:val="0"/>
          <w:i/>
          <w:sz w:val="24"/>
          <w:szCs w:val="24"/>
        </w:rPr>
        <w:t xml:space="preserve">средних </w:t>
      </w:r>
      <w:r w:rsidRPr="00F82A7A">
        <w:rPr>
          <w:b w:val="0"/>
          <w:i/>
          <w:spacing w:val="-6"/>
          <w:sz w:val="24"/>
          <w:szCs w:val="24"/>
        </w:rPr>
        <w:t>цен предложений аренды</w:t>
      </w:r>
      <w:r w:rsidRPr="00F82A7A">
        <w:rPr>
          <w:b w:val="0"/>
          <w:i/>
          <w:sz w:val="24"/>
          <w:szCs w:val="24"/>
        </w:rPr>
        <w:t xml:space="preserve"> производственно-складской недвижимости</w:t>
      </w:r>
      <w:r w:rsidR="00A541D9" w:rsidRPr="00F82A7A">
        <w:rPr>
          <w:b w:val="0"/>
          <w:i/>
          <w:sz w:val="24"/>
          <w:szCs w:val="24"/>
        </w:rPr>
        <w:t>, руб.</w:t>
      </w:r>
      <w:r w:rsidR="00900C60">
        <w:rPr>
          <w:b w:val="0"/>
          <w:i/>
          <w:sz w:val="24"/>
          <w:szCs w:val="24"/>
        </w:rPr>
        <w:t>/кв</w:t>
      </w:r>
      <w:proofErr w:type="gramStart"/>
      <w:r w:rsidR="00900C60">
        <w:rPr>
          <w:b w:val="0"/>
          <w:i/>
          <w:sz w:val="24"/>
          <w:szCs w:val="24"/>
        </w:rPr>
        <w:t>.м</w:t>
      </w:r>
      <w:proofErr w:type="gramEnd"/>
    </w:p>
    <w:p w:rsidR="00E65FE4" w:rsidRDefault="00E65FE4"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10</w:t>
      </w:r>
      <w:r w:rsidR="003E330D">
        <w:t>.</w:t>
      </w:r>
    </w:p>
    <w:p w:rsidR="005739B6" w:rsidRDefault="005739B6" w:rsidP="003E330D">
      <w:pPr>
        <w:ind w:firstLine="709"/>
        <w:jc w:val="both"/>
      </w:pPr>
    </w:p>
    <w:p w:rsidR="003E330D" w:rsidRPr="00683111" w:rsidRDefault="007E7DBE" w:rsidP="003E330D">
      <w:pPr>
        <w:ind w:firstLine="540"/>
        <w:jc w:val="center"/>
      </w:pPr>
      <w:r w:rsidRPr="007E7DBE">
        <w:drawing>
          <wp:inline distT="0" distB="0" distL="0" distR="0">
            <wp:extent cx="5999560" cy="2314972"/>
            <wp:effectExtent l="19050" t="0" r="20240" b="9128"/>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30D" w:rsidRDefault="003E330D" w:rsidP="003E330D">
      <w:pPr>
        <w:pStyle w:val="aa"/>
        <w:ind w:firstLine="540"/>
        <w:jc w:val="center"/>
        <w:rPr>
          <w:b w:val="0"/>
          <w:i/>
          <w:sz w:val="24"/>
          <w:szCs w:val="24"/>
        </w:rPr>
      </w:pPr>
      <w:r w:rsidRPr="0066391A">
        <w:rPr>
          <w:b w:val="0"/>
          <w:i/>
          <w:sz w:val="24"/>
          <w:szCs w:val="24"/>
        </w:rPr>
        <w:t xml:space="preserve">Рисунок </w:t>
      </w:r>
      <w:r w:rsidR="00683111">
        <w:rPr>
          <w:b w:val="0"/>
          <w:i/>
          <w:sz w:val="24"/>
          <w:szCs w:val="24"/>
        </w:rPr>
        <w:t>10</w:t>
      </w:r>
      <w:r w:rsidRPr="0066391A">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0F307D" w:rsidRDefault="000F307D"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11</w:t>
      </w:r>
      <w:r w:rsidR="003E330D" w:rsidRPr="00B03E52">
        <w:t>.</w:t>
      </w:r>
    </w:p>
    <w:p w:rsidR="00683111" w:rsidRDefault="00683111" w:rsidP="003E330D">
      <w:pPr>
        <w:ind w:firstLine="709"/>
        <w:jc w:val="both"/>
      </w:pPr>
    </w:p>
    <w:p w:rsidR="003E330D" w:rsidRPr="00683111" w:rsidRDefault="007E7DBE" w:rsidP="003E330D">
      <w:pPr>
        <w:ind w:firstLine="540"/>
        <w:jc w:val="center"/>
      </w:pPr>
      <w:r w:rsidRPr="007E7DBE">
        <w:drawing>
          <wp:inline distT="0" distB="0" distL="0" distR="0">
            <wp:extent cx="5996384" cy="2305844"/>
            <wp:effectExtent l="19050" t="0" r="23416"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30D" w:rsidRDefault="003E330D" w:rsidP="003E330D">
      <w:pPr>
        <w:pStyle w:val="aa"/>
        <w:jc w:val="center"/>
        <w:rPr>
          <w:b w:val="0"/>
          <w:i/>
          <w:sz w:val="24"/>
          <w:szCs w:val="24"/>
        </w:rPr>
      </w:pPr>
      <w:r w:rsidRPr="00896418">
        <w:rPr>
          <w:b w:val="0"/>
          <w:i/>
          <w:sz w:val="24"/>
          <w:szCs w:val="24"/>
        </w:rPr>
        <w:t xml:space="preserve">Рисунок </w:t>
      </w:r>
      <w:r w:rsidR="00683111">
        <w:rPr>
          <w:b w:val="0"/>
          <w:i/>
          <w:sz w:val="24"/>
          <w:szCs w:val="24"/>
        </w:rPr>
        <w:t>11</w:t>
      </w:r>
      <w:r w:rsidRPr="00896418">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683111" w:rsidRPr="00683111" w:rsidRDefault="00683111" w:rsidP="00683111"/>
    <w:p w:rsidR="003E330D" w:rsidRPr="00386637" w:rsidRDefault="003E330D" w:rsidP="003E330D">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r w:rsidR="00456EEE">
        <w:t>производственно-складской</w:t>
      </w:r>
      <w:r>
        <w:t xml:space="preserve"> недвижимостью находится в диапазоне </w:t>
      </w:r>
      <w:r w:rsidR="00445484">
        <w:t>5</w:t>
      </w:r>
      <w:r>
        <w:t xml:space="preserve"> – </w:t>
      </w:r>
      <w:r w:rsidR="00445484">
        <w:t>30</w:t>
      </w:r>
      <w:r w:rsidRPr="00140416">
        <w:t>%</w:t>
      </w:r>
      <w:r>
        <w:t xml:space="preserve"> при продаже и </w:t>
      </w:r>
      <w:r w:rsidR="00DA0FEB">
        <w:t>3</w:t>
      </w:r>
      <w:r>
        <w:t xml:space="preserve"> – </w:t>
      </w:r>
      <w:r w:rsidR="00DA0FEB">
        <w:t>2</w:t>
      </w:r>
      <w:r w:rsidR="00445484">
        <w:t>8</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rsidR="00DA0FEB">
        <w:t>5</w:t>
      </w:r>
      <w:r>
        <w:t xml:space="preserve"> – </w:t>
      </w:r>
      <w:r w:rsidR="00445484">
        <w:t>3</w:t>
      </w:r>
      <w:r>
        <w:t>0</w:t>
      </w:r>
      <w:r w:rsidRPr="002F4157">
        <w:t>%.</w:t>
      </w:r>
      <w:proofErr w:type="gramEnd"/>
    </w:p>
    <w:p w:rsidR="003E330D" w:rsidRDefault="003E330D" w:rsidP="003E330D">
      <w:pPr>
        <w:ind w:firstLine="540"/>
        <w:jc w:val="both"/>
      </w:pPr>
    </w:p>
    <w:p w:rsidR="000F07BC" w:rsidRDefault="000F07BC" w:rsidP="003E330D">
      <w:pPr>
        <w:ind w:firstLine="540"/>
        <w:jc w:val="both"/>
      </w:pPr>
    </w:p>
    <w:p w:rsidR="000F07BC" w:rsidRPr="000A754D" w:rsidRDefault="000F07BC" w:rsidP="003E330D">
      <w:pPr>
        <w:ind w:firstLine="540"/>
        <w:jc w:val="both"/>
      </w:pPr>
    </w:p>
    <w:p w:rsidR="003E330D" w:rsidRDefault="003E330D" w:rsidP="003E330D">
      <w:pPr>
        <w:jc w:val="both"/>
        <w:rPr>
          <w:i/>
        </w:rPr>
      </w:pPr>
      <w:r>
        <w:rPr>
          <w:i/>
        </w:rPr>
        <w:t>Источники данных:</w:t>
      </w:r>
    </w:p>
    <w:p w:rsidR="003E330D" w:rsidRDefault="003E330D" w:rsidP="003E330D">
      <w:pPr>
        <w:jc w:val="both"/>
        <w:rPr>
          <w:i/>
        </w:rPr>
      </w:pPr>
    </w:p>
    <w:p w:rsidR="003E330D" w:rsidRDefault="003E330D" w:rsidP="003E330D">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3E330D" w:rsidRPr="00F06982" w:rsidRDefault="003E330D" w:rsidP="003E330D">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3E330D" w:rsidRDefault="003E330D" w:rsidP="003E330D">
      <w:pPr>
        <w:rPr>
          <w:i/>
        </w:rPr>
      </w:pPr>
    </w:p>
    <w:tbl>
      <w:tblPr>
        <w:tblW w:w="5000" w:type="pct"/>
        <w:tblLook w:val="01E0"/>
      </w:tblPr>
      <w:tblGrid>
        <w:gridCol w:w="5920"/>
        <w:gridCol w:w="4376"/>
      </w:tblGrid>
      <w:tr w:rsidR="006E5B0E" w:rsidRPr="00277019" w:rsidTr="003C1DD2">
        <w:tc>
          <w:tcPr>
            <w:tcW w:w="2875" w:type="pct"/>
            <w:vAlign w:val="center"/>
          </w:tcPr>
          <w:p w:rsidR="006E5B0E" w:rsidRPr="00277019" w:rsidRDefault="006E5B0E" w:rsidP="003C1DD2">
            <w:pPr>
              <w:rPr>
                <w:i/>
              </w:rPr>
            </w:pPr>
            <w:r w:rsidRPr="00277019">
              <w:rPr>
                <w:i/>
              </w:rPr>
              <w:t>Исполнитель:</w:t>
            </w:r>
          </w:p>
        </w:tc>
        <w:tc>
          <w:tcPr>
            <w:tcW w:w="2125" w:type="pct"/>
            <w:vAlign w:val="center"/>
          </w:tcPr>
          <w:p w:rsidR="006E5B0E" w:rsidRPr="00277019" w:rsidRDefault="006E5B0E" w:rsidP="003C1DD2">
            <w:pPr>
              <w:rPr>
                <w:i/>
              </w:rPr>
            </w:pPr>
            <w:proofErr w:type="spellStart"/>
            <w:r>
              <w:rPr>
                <w:i/>
              </w:rPr>
              <w:t>Валиуллин</w:t>
            </w:r>
            <w:proofErr w:type="spellEnd"/>
            <w:r>
              <w:rPr>
                <w:i/>
              </w:rPr>
              <w:t xml:space="preserve"> </w:t>
            </w:r>
            <w:proofErr w:type="spellStart"/>
            <w:r>
              <w:rPr>
                <w:i/>
              </w:rPr>
              <w:t>Айрат</w:t>
            </w:r>
            <w:proofErr w:type="spellEnd"/>
          </w:p>
        </w:tc>
      </w:tr>
    </w:tbl>
    <w:p w:rsidR="003E330D" w:rsidRDefault="003E330D" w:rsidP="003E330D">
      <w:pPr>
        <w:jc w:val="both"/>
        <w:rPr>
          <w:i/>
        </w:rPr>
      </w:pPr>
    </w:p>
    <w:p w:rsidR="003E330D" w:rsidRDefault="003E330D" w:rsidP="003E330D">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F13C1B">
        <w:rPr>
          <w:i/>
        </w:rPr>
        <w:t xml:space="preserve">.: </w:t>
      </w:r>
      <w:r w:rsidR="00C4589F">
        <w:rPr>
          <w:i/>
        </w:rPr>
        <w:t>(8652) 56-55-33; 8-962-442-33-65</w:t>
      </w:r>
    </w:p>
    <w:p w:rsidR="0002583F" w:rsidRDefault="0002583F" w:rsidP="003E330D">
      <w:pPr>
        <w:jc w:val="both"/>
        <w:rPr>
          <w:i/>
        </w:rPr>
      </w:pPr>
    </w:p>
    <w:sectPr w:rsidR="0002583F" w:rsidSect="003F65BA">
      <w:headerReference w:type="default" r:id="rId18"/>
      <w:footerReference w:type="even" r:id="rId19"/>
      <w:footerReference w:type="default" r:id="rId20"/>
      <w:headerReference w:type="first" r:id="rId21"/>
      <w:footerReference w:type="first" r:id="rId22"/>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C9" w:rsidRDefault="007353C9">
      <w:r>
        <w:separator/>
      </w:r>
    </w:p>
  </w:endnote>
  <w:endnote w:type="continuationSeparator" w:id="0">
    <w:p w:rsidR="007353C9" w:rsidRDefault="00735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7D3147"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7D3147" w:rsidRPr="00862393">
      <w:rPr>
        <w:i/>
      </w:rPr>
      <w:fldChar w:fldCharType="begin"/>
    </w:r>
    <w:r w:rsidRPr="00862393">
      <w:rPr>
        <w:i/>
      </w:rPr>
      <w:instrText xml:space="preserve"> PAGE </w:instrText>
    </w:r>
    <w:r w:rsidR="007D3147" w:rsidRPr="00862393">
      <w:rPr>
        <w:i/>
      </w:rPr>
      <w:fldChar w:fldCharType="separate"/>
    </w:r>
    <w:r w:rsidR="007E7DBE">
      <w:rPr>
        <w:i/>
        <w:noProof/>
      </w:rPr>
      <w:t>7</w:t>
    </w:r>
    <w:r w:rsidR="007D3147" w:rsidRPr="00862393">
      <w:rPr>
        <w:i/>
      </w:rPr>
      <w:fldChar w:fldCharType="end"/>
    </w:r>
    <w:r w:rsidRPr="00862393">
      <w:rPr>
        <w:i/>
      </w:rPr>
      <w:t xml:space="preserve"> из </w:t>
    </w:r>
    <w:r w:rsidR="007D3147" w:rsidRPr="00862393">
      <w:rPr>
        <w:i/>
      </w:rPr>
      <w:fldChar w:fldCharType="begin"/>
    </w:r>
    <w:r w:rsidRPr="00862393">
      <w:rPr>
        <w:i/>
      </w:rPr>
      <w:instrText xml:space="preserve"> NUMPAGES </w:instrText>
    </w:r>
    <w:r w:rsidR="007D3147" w:rsidRPr="00862393">
      <w:rPr>
        <w:i/>
      </w:rPr>
      <w:fldChar w:fldCharType="separate"/>
    </w:r>
    <w:r w:rsidR="007E7DBE">
      <w:rPr>
        <w:i/>
        <w:noProof/>
      </w:rPr>
      <w:t>7</w:t>
    </w:r>
    <w:r w:rsidR="007D3147"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7D3147" w:rsidRPr="00862393">
      <w:rPr>
        <w:i/>
      </w:rPr>
      <w:fldChar w:fldCharType="begin"/>
    </w:r>
    <w:r w:rsidRPr="00862393">
      <w:rPr>
        <w:i/>
      </w:rPr>
      <w:instrText xml:space="preserve"> PAGE </w:instrText>
    </w:r>
    <w:r w:rsidR="007D3147" w:rsidRPr="00862393">
      <w:rPr>
        <w:i/>
      </w:rPr>
      <w:fldChar w:fldCharType="separate"/>
    </w:r>
    <w:r w:rsidR="00B96287">
      <w:rPr>
        <w:i/>
        <w:noProof/>
      </w:rPr>
      <w:t>1</w:t>
    </w:r>
    <w:r w:rsidR="007D3147" w:rsidRPr="00862393">
      <w:rPr>
        <w:i/>
      </w:rPr>
      <w:fldChar w:fldCharType="end"/>
    </w:r>
    <w:r w:rsidRPr="00862393">
      <w:rPr>
        <w:i/>
      </w:rPr>
      <w:t xml:space="preserve"> из </w:t>
    </w:r>
    <w:r w:rsidR="007D3147" w:rsidRPr="00862393">
      <w:rPr>
        <w:i/>
      </w:rPr>
      <w:fldChar w:fldCharType="begin"/>
    </w:r>
    <w:r w:rsidRPr="00862393">
      <w:rPr>
        <w:i/>
      </w:rPr>
      <w:instrText xml:space="preserve"> NUMPAGES </w:instrText>
    </w:r>
    <w:r w:rsidR="007D3147" w:rsidRPr="00862393">
      <w:rPr>
        <w:i/>
      </w:rPr>
      <w:fldChar w:fldCharType="separate"/>
    </w:r>
    <w:r w:rsidR="00B96287">
      <w:rPr>
        <w:i/>
        <w:noProof/>
      </w:rPr>
      <w:t>7</w:t>
    </w:r>
    <w:r w:rsidR="007D3147"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C9" w:rsidRDefault="007353C9">
      <w:r>
        <w:separator/>
      </w:r>
    </w:p>
  </w:footnote>
  <w:footnote w:type="continuationSeparator" w:id="0">
    <w:p w:rsidR="007353C9" w:rsidRDefault="007353C9">
      <w:r>
        <w:continuationSeparator/>
      </w:r>
    </w:p>
  </w:footnote>
  <w:footnote w:id="1">
    <w:p w:rsidR="003E330D" w:rsidRDefault="003E330D" w:rsidP="003E330D">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F45689" w:rsidRPr="002E4327" w:rsidRDefault="00F45689" w:rsidP="00F45689">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B615FD" w:rsidRDefault="00B615FD" w:rsidP="00B615FD">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3E330D" w:rsidRPr="00092354" w:rsidRDefault="003E330D" w:rsidP="003E330D">
      <w:pPr>
        <w:pStyle w:val="a4"/>
        <w:jc w:val="both"/>
        <w:rPr>
          <w:i/>
        </w:rPr>
      </w:pPr>
      <w:r w:rsidRPr="00092354">
        <w:rPr>
          <w:rStyle w:val="a6"/>
          <w:i/>
        </w:rPr>
        <w:t>*</w:t>
      </w:r>
      <w:r w:rsidRPr="00092354">
        <w:rPr>
          <w:i/>
        </w:rPr>
        <w:t xml:space="preserve"> </w:t>
      </w:r>
      <w:proofErr w:type="spellStart"/>
      <w:r w:rsidR="00514584" w:rsidRPr="00092354">
        <w:rPr>
          <w:i/>
        </w:rPr>
        <w:t>Лейфер</w:t>
      </w:r>
      <w:proofErr w:type="spellEnd"/>
      <w:r w:rsidR="00514584">
        <w:rPr>
          <w:i/>
        </w:rPr>
        <w:t>,</w:t>
      </w:r>
      <w:r w:rsidR="00514584" w:rsidRPr="00092354">
        <w:rPr>
          <w:i/>
        </w:rPr>
        <w:t xml:space="preserve"> Л.</w:t>
      </w:r>
      <w:r w:rsidR="00514584">
        <w:rPr>
          <w:i/>
        </w:rPr>
        <w:t> </w:t>
      </w:r>
      <w:r w:rsidR="00514584" w:rsidRPr="00092354">
        <w:rPr>
          <w:i/>
        </w:rPr>
        <w:t xml:space="preserve">А. </w:t>
      </w:r>
      <w:r w:rsidR="00514584">
        <w:rPr>
          <w:i/>
        </w:rPr>
        <w:t>Справочник оценщика недвижимости</w:t>
      </w:r>
      <w:r w:rsidR="00445484">
        <w:rPr>
          <w:i/>
        </w:rPr>
        <w:t xml:space="preserve"> - 2016</w:t>
      </w:r>
      <w:r w:rsidR="00514584">
        <w:rPr>
          <w:i/>
        </w:rPr>
        <w:t xml:space="preserve">. Издание </w:t>
      </w:r>
      <w:r w:rsidR="00445484">
        <w:rPr>
          <w:i/>
        </w:rPr>
        <w:t>четвертое</w:t>
      </w:r>
      <w:r w:rsidR="00514584">
        <w:rPr>
          <w:i/>
        </w:rPr>
        <w:t xml:space="preserve"> /</w:t>
      </w:r>
      <w:r w:rsidR="00514584" w:rsidRPr="00092354">
        <w:rPr>
          <w:i/>
        </w:rPr>
        <w:t xml:space="preserve"> Л.</w:t>
      </w:r>
      <w:r w:rsidR="00514584">
        <w:rPr>
          <w:i/>
        </w:rPr>
        <w:t> </w:t>
      </w:r>
      <w:r w:rsidR="00514584" w:rsidRPr="00092354">
        <w:rPr>
          <w:i/>
        </w:rPr>
        <w:t>А.</w:t>
      </w:r>
      <w:r w:rsidR="00514584">
        <w:rPr>
          <w:i/>
        </w:rPr>
        <w:t> </w:t>
      </w:r>
      <w:proofErr w:type="spellStart"/>
      <w:r w:rsidR="00514584" w:rsidRPr="00092354">
        <w:rPr>
          <w:i/>
        </w:rPr>
        <w:t>Лейфер</w:t>
      </w:r>
      <w:proofErr w:type="spellEnd"/>
      <w:r w:rsidR="00514584">
        <w:rPr>
          <w:i/>
        </w:rPr>
        <w:t xml:space="preserve">, </w:t>
      </w:r>
      <w:r w:rsidR="00445484">
        <w:rPr>
          <w:i/>
        </w:rPr>
        <w:t>Т</w:t>
      </w:r>
      <w:r w:rsidR="00514584">
        <w:rPr>
          <w:i/>
        </w:rPr>
        <w:t>. </w:t>
      </w:r>
      <w:r w:rsidR="00445484">
        <w:rPr>
          <w:i/>
        </w:rPr>
        <w:t>В</w:t>
      </w:r>
      <w:r w:rsidR="00514584">
        <w:rPr>
          <w:i/>
        </w:rPr>
        <w:t>. </w:t>
      </w:r>
      <w:proofErr w:type="spellStart"/>
      <w:r w:rsidR="00445484">
        <w:rPr>
          <w:i/>
        </w:rPr>
        <w:t>Крайникова</w:t>
      </w:r>
      <w:proofErr w:type="spellEnd"/>
      <w:r w:rsidR="00514584">
        <w:rPr>
          <w:i/>
        </w:rPr>
        <w:t xml:space="preserve">. - </w:t>
      </w:r>
      <w:r w:rsidR="00514584" w:rsidRPr="00092354">
        <w:rPr>
          <w:i/>
        </w:rPr>
        <w:t>г. Нижний Новгород</w:t>
      </w:r>
      <w:proofErr w:type="gramStart"/>
      <w:r w:rsidR="00514584">
        <w:rPr>
          <w:i/>
        </w:rPr>
        <w:t xml:space="preserve"> :</w:t>
      </w:r>
      <w:proofErr w:type="gramEnd"/>
      <w:r w:rsidR="00514584">
        <w:rPr>
          <w:i/>
        </w:rPr>
        <w:t xml:space="preserve"> </w:t>
      </w:r>
      <w:r w:rsidR="00514584" w:rsidRPr="00092354">
        <w:rPr>
          <w:i/>
        </w:rPr>
        <w:t xml:space="preserve">Приволжский центр </w:t>
      </w:r>
      <w:r w:rsidR="00445484">
        <w:rPr>
          <w:i/>
        </w:rPr>
        <w:t>методического и информационного обеспечения</w:t>
      </w:r>
      <w:r w:rsidR="00514584" w:rsidRPr="00092354">
        <w:rPr>
          <w:i/>
        </w:rPr>
        <w:t xml:space="preserve"> оценки</w:t>
      </w:r>
      <w:r w:rsidR="00514584">
        <w:rPr>
          <w:i/>
        </w:rPr>
        <w:t xml:space="preserve">, </w:t>
      </w:r>
      <w:r w:rsidR="00514584" w:rsidRPr="00092354">
        <w:rPr>
          <w:i/>
        </w:rPr>
        <w:t>201</w:t>
      </w:r>
      <w:r w:rsidR="00445484">
        <w:rPr>
          <w:i/>
        </w:rPr>
        <w:t>6</w:t>
      </w:r>
    </w:p>
  </w:footnote>
  <w:footnote w:id="5">
    <w:p w:rsidR="003E330D" w:rsidRPr="002E4327" w:rsidRDefault="003E330D" w:rsidP="003E330D">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5C" w:rsidRPr="00A26261" w:rsidRDefault="003C335C" w:rsidP="003C335C">
    <w:pPr>
      <w:pStyle w:val="a9"/>
      <w:jc w:val="center"/>
      <w:rPr>
        <w:i/>
        <w:sz w:val="19"/>
        <w:szCs w:val="19"/>
        <w:u w:val="single"/>
      </w:rPr>
    </w:pPr>
    <w:r w:rsidRPr="00A26261">
      <w:rPr>
        <w:i/>
        <w:sz w:val="19"/>
        <w:szCs w:val="19"/>
        <w:u w:val="single"/>
      </w:rPr>
      <w:t xml:space="preserve">Анализ рынка производственно-складской недвижимости </w:t>
    </w:r>
    <w:proofErr w:type="gramStart"/>
    <w:r w:rsidRPr="00A26261">
      <w:rPr>
        <w:i/>
        <w:sz w:val="19"/>
        <w:szCs w:val="19"/>
        <w:u w:val="single"/>
      </w:rPr>
      <w:t>г</w:t>
    </w:r>
    <w:proofErr w:type="gramEnd"/>
    <w:r w:rsidRPr="00A26261">
      <w:rPr>
        <w:i/>
        <w:sz w:val="19"/>
        <w:szCs w:val="19"/>
        <w:u w:val="single"/>
      </w:rPr>
      <w:t xml:space="preserve">. Ставрополь </w:t>
    </w:r>
    <w:r w:rsidR="007B2D45">
      <w:rPr>
        <w:i/>
        <w:sz w:val="19"/>
        <w:szCs w:val="19"/>
        <w:u w:val="single"/>
      </w:rPr>
      <w:t>(в период с 01 января 2009 по 3</w:t>
    </w:r>
    <w:r w:rsidR="00B96287">
      <w:rPr>
        <w:i/>
        <w:sz w:val="19"/>
        <w:szCs w:val="19"/>
        <w:u w:val="single"/>
      </w:rPr>
      <w:t>1 янва</w:t>
    </w:r>
    <w:r w:rsidR="00AC3ADB">
      <w:rPr>
        <w:i/>
        <w:sz w:val="19"/>
        <w:szCs w:val="19"/>
        <w:u w:val="single"/>
      </w:rPr>
      <w:t>ря</w:t>
    </w:r>
    <w:r w:rsidR="00B96287">
      <w:rPr>
        <w:i/>
        <w:sz w:val="19"/>
        <w:szCs w:val="19"/>
        <w:u w:val="single"/>
      </w:rPr>
      <w:t xml:space="preserve"> 2020</w:t>
    </w:r>
    <w:r w:rsidRPr="008E40B2">
      <w:rPr>
        <w:i/>
        <w:sz w:val="19"/>
        <w:szCs w:val="19"/>
        <w:u w:val="single"/>
      </w:rPr>
      <w:t xml:space="preserve"> г.)</w:t>
    </w:r>
  </w:p>
  <w:p w:rsidR="003C335C" w:rsidRPr="00FD658D" w:rsidRDefault="003C335C" w:rsidP="003C335C">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923D51" w:rsidRDefault="00923D51"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sidR="00A3025D">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923D51" w:rsidRPr="002248A2" w:rsidRDefault="00923D51"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11265"/>
  </w:hdrShapeDefaults>
  <w:footnotePr>
    <w:footnote w:id="-1"/>
    <w:footnote w:id="0"/>
  </w:footnotePr>
  <w:endnotePr>
    <w:endnote w:id="-1"/>
    <w:endnote w:id="0"/>
  </w:endnotePr>
  <w:compat/>
  <w:rsids>
    <w:rsidRoot w:val="005B6E2A"/>
    <w:rsid w:val="000003C4"/>
    <w:rsid w:val="00006084"/>
    <w:rsid w:val="000114FF"/>
    <w:rsid w:val="000123F0"/>
    <w:rsid w:val="00012BF5"/>
    <w:rsid w:val="0001406A"/>
    <w:rsid w:val="00022D4C"/>
    <w:rsid w:val="0002583F"/>
    <w:rsid w:val="00025C0C"/>
    <w:rsid w:val="00034F8F"/>
    <w:rsid w:val="0003552C"/>
    <w:rsid w:val="00036F38"/>
    <w:rsid w:val="000371E2"/>
    <w:rsid w:val="00037673"/>
    <w:rsid w:val="00043AE9"/>
    <w:rsid w:val="0004668C"/>
    <w:rsid w:val="000521D9"/>
    <w:rsid w:val="00053B76"/>
    <w:rsid w:val="00053E96"/>
    <w:rsid w:val="000554AB"/>
    <w:rsid w:val="00055D41"/>
    <w:rsid w:val="00055F4A"/>
    <w:rsid w:val="00056325"/>
    <w:rsid w:val="00056B7D"/>
    <w:rsid w:val="00063128"/>
    <w:rsid w:val="000674E7"/>
    <w:rsid w:val="000710CB"/>
    <w:rsid w:val="000739D1"/>
    <w:rsid w:val="00080D7E"/>
    <w:rsid w:val="00081B42"/>
    <w:rsid w:val="000829BB"/>
    <w:rsid w:val="00092C8B"/>
    <w:rsid w:val="000A3066"/>
    <w:rsid w:val="000A4C72"/>
    <w:rsid w:val="000B216B"/>
    <w:rsid w:val="000B5279"/>
    <w:rsid w:val="000B625F"/>
    <w:rsid w:val="000C2B04"/>
    <w:rsid w:val="000C4156"/>
    <w:rsid w:val="000C4263"/>
    <w:rsid w:val="000C75E6"/>
    <w:rsid w:val="000D3AA9"/>
    <w:rsid w:val="000D5814"/>
    <w:rsid w:val="000D6DFA"/>
    <w:rsid w:val="000E08FD"/>
    <w:rsid w:val="000E262C"/>
    <w:rsid w:val="000F0777"/>
    <w:rsid w:val="000F07BC"/>
    <w:rsid w:val="000F11F6"/>
    <w:rsid w:val="000F307D"/>
    <w:rsid w:val="000F787D"/>
    <w:rsid w:val="001068DD"/>
    <w:rsid w:val="00106D58"/>
    <w:rsid w:val="00107A5F"/>
    <w:rsid w:val="001138FB"/>
    <w:rsid w:val="00120C77"/>
    <w:rsid w:val="00121C4C"/>
    <w:rsid w:val="001306A4"/>
    <w:rsid w:val="0013365F"/>
    <w:rsid w:val="00135774"/>
    <w:rsid w:val="00135C46"/>
    <w:rsid w:val="00151417"/>
    <w:rsid w:val="001528CB"/>
    <w:rsid w:val="00152B78"/>
    <w:rsid w:val="00155DC2"/>
    <w:rsid w:val="001560B3"/>
    <w:rsid w:val="00156811"/>
    <w:rsid w:val="00163081"/>
    <w:rsid w:val="0016528A"/>
    <w:rsid w:val="001869D8"/>
    <w:rsid w:val="00186B21"/>
    <w:rsid w:val="00187134"/>
    <w:rsid w:val="00194749"/>
    <w:rsid w:val="00194857"/>
    <w:rsid w:val="00195CD6"/>
    <w:rsid w:val="00196A13"/>
    <w:rsid w:val="001A2A0B"/>
    <w:rsid w:val="001A3FD5"/>
    <w:rsid w:val="001A667F"/>
    <w:rsid w:val="001A75D2"/>
    <w:rsid w:val="001B67E5"/>
    <w:rsid w:val="001C13DE"/>
    <w:rsid w:val="001C3E4E"/>
    <w:rsid w:val="001C5169"/>
    <w:rsid w:val="001D138C"/>
    <w:rsid w:val="001D2E1E"/>
    <w:rsid w:val="001E1663"/>
    <w:rsid w:val="001E1B1B"/>
    <w:rsid w:val="001E2BE0"/>
    <w:rsid w:val="001F0B1D"/>
    <w:rsid w:val="001F4F1B"/>
    <w:rsid w:val="001F5540"/>
    <w:rsid w:val="001F5591"/>
    <w:rsid w:val="001F56C1"/>
    <w:rsid w:val="001F7630"/>
    <w:rsid w:val="00202D2C"/>
    <w:rsid w:val="00205BDB"/>
    <w:rsid w:val="00206B03"/>
    <w:rsid w:val="002145A5"/>
    <w:rsid w:val="00214834"/>
    <w:rsid w:val="00217717"/>
    <w:rsid w:val="00220A3F"/>
    <w:rsid w:val="002248A2"/>
    <w:rsid w:val="00240039"/>
    <w:rsid w:val="002409DD"/>
    <w:rsid w:val="00251575"/>
    <w:rsid w:val="0025333E"/>
    <w:rsid w:val="00255828"/>
    <w:rsid w:val="00261029"/>
    <w:rsid w:val="0026109E"/>
    <w:rsid w:val="00262514"/>
    <w:rsid w:val="00263CFD"/>
    <w:rsid w:val="00265DDE"/>
    <w:rsid w:val="00271BDC"/>
    <w:rsid w:val="0027389E"/>
    <w:rsid w:val="0027479E"/>
    <w:rsid w:val="00276301"/>
    <w:rsid w:val="00280F73"/>
    <w:rsid w:val="002957A3"/>
    <w:rsid w:val="002964E2"/>
    <w:rsid w:val="002A3232"/>
    <w:rsid w:val="002A74AE"/>
    <w:rsid w:val="002B04EC"/>
    <w:rsid w:val="002B27F0"/>
    <w:rsid w:val="002B337F"/>
    <w:rsid w:val="002B4F8E"/>
    <w:rsid w:val="002B7C0A"/>
    <w:rsid w:val="002C21C0"/>
    <w:rsid w:val="002C3B7E"/>
    <w:rsid w:val="002D18F1"/>
    <w:rsid w:val="002D19E8"/>
    <w:rsid w:val="002D56A8"/>
    <w:rsid w:val="002D5EB9"/>
    <w:rsid w:val="002D5F88"/>
    <w:rsid w:val="002D69F8"/>
    <w:rsid w:val="002E4394"/>
    <w:rsid w:val="002E47D7"/>
    <w:rsid w:val="002F20AE"/>
    <w:rsid w:val="002F28D3"/>
    <w:rsid w:val="002F43CF"/>
    <w:rsid w:val="002F702C"/>
    <w:rsid w:val="002F7ACA"/>
    <w:rsid w:val="00300985"/>
    <w:rsid w:val="00303314"/>
    <w:rsid w:val="003058ED"/>
    <w:rsid w:val="00305C51"/>
    <w:rsid w:val="00312135"/>
    <w:rsid w:val="00312956"/>
    <w:rsid w:val="0031713D"/>
    <w:rsid w:val="0032571E"/>
    <w:rsid w:val="00325723"/>
    <w:rsid w:val="00330B3B"/>
    <w:rsid w:val="00332D38"/>
    <w:rsid w:val="003343C6"/>
    <w:rsid w:val="00341256"/>
    <w:rsid w:val="00341C10"/>
    <w:rsid w:val="00346820"/>
    <w:rsid w:val="00346CCD"/>
    <w:rsid w:val="00350952"/>
    <w:rsid w:val="003562F2"/>
    <w:rsid w:val="00367EFD"/>
    <w:rsid w:val="00373BBD"/>
    <w:rsid w:val="003801B7"/>
    <w:rsid w:val="00383553"/>
    <w:rsid w:val="0038549F"/>
    <w:rsid w:val="003955B1"/>
    <w:rsid w:val="003977A9"/>
    <w:rsid w:val="00397E44"/>
    <w:rsid w:val="003A0937"/>
    <w:rsid w:val="003A119D"/>
    <w:rsid w:val="003A7433"/>
    <w:rsid w:val="003A76BC"/>
    <w:rsid w:val="003B0113"/>
    <w:rsid w:val="003B0B9D"/>
    <w:rsid w:val="003B2F25"/>
    <w:rsid w:val="003B3DB1"/>
    <w:rsid w:val="003C15D8"/>
    <w:rsid w:val="003C1DD2"/>
    <w:rsid w:val="003C335C"/>
    <w:rsid w:val="003C54F1"/>
    <w:rsid w:val="003D005A"/>
    <w:rsid w:val="003D14A2"/>
    <w:rsid w:val="003D2152"/>
    <w:rsid w:val="003D3123"/>
    <w:rsid w:val="003D3BB3"/>
    <w:rsid w:val="003D4D2A"/>
    <w:rsid w:val="003D6123"/>
    <w:rsid w:val="003E2DB5"/>
    <w:rsid w:val="003E2E6E"/>
    <w:rsid w:val="003E330D"/>
    <w:rsid w:val="003E34F1"/>
    <w:rsid w:val="003E49CB"/>
    <w:rsid w:val="003F22A0"/>
    <w:rsid w:val="003F3AA3"/>
    <w:rsid w:val="003F3FDD"/>
    <w:rsid w:val="003F65BA"/>
    <w:rsid w:val="003F697B"/>
    <w:rsid w:val="00400682"/>
    <w:rsid w:val="004022DC"/>
    <w:rsid w:val="00402C79"/>
    <w:rsid w:val="00403AD6"/>
    <w:rsid w:val="00403BEA"/>
    <w:rsid w:val="004042FD"/>
    <w:rsid w:val="00406363"/>
    <w:rsid w:val="00411305"/>
    <w:rsid w:val="00413ACA"/>
    <w:rsid w:val="00413EE8"/>
    <w:rsid w:val="00417272"/>
    <w:rsid w:val="00417BD8"/>
    <w:rsid w:val="004203D6"/>
    <w:rsid w:val="00420C92"/>
    <w:rsid w:val="004211BE"/>
    <w:rsid w:val="0042183E"/>
    <w:rsid w:val="00424796"/>
    <w:rsid w:val="00424E62"/>
    <w:rsid w:val="0042743A"/>
    <w:rsid w:val="004331BE"/>
    <w:rsid w:val="00437FC9"/>
    <w:rsid w:val="004448D1"/>
    <w:rsid w:val="00445484"/>
    <w:rsid w:val="00445F35"/>
    <w:rsid w:val="0045132C"/>
    <w:rsid w:val="00456EEE"/>
    <w:rsid w:val="00460DDA"/>
    <w:rsid w:val="00467CFC"/>
    <w:rsid w:val="00471029"/>
    <w:rsid w:val="00472D54"/>
    <w:rsid w:val="00476C72"/>
    <w:rsid w:val="00477EAF"/>
    <w:rsid w:val="0048102B"/>
    <w:rsid w:val="00485FDC"/>
    <w:rsid w:val="00490745"/>
    <w:rsid w:val="00491683"/>
    <w:rsid w:val="00493684"/>
    <w:rsid w:val="004943C2"/>
    <w:rsid w:val="004B34D8"/>
    <w:rsid w:val="004B4DCE"/>
    <w:rsid w:val="004B68FB"/>
    <w:rsid w:val="004B7032"/>
    <w:rsid w:val="004C0354"/>
    <w:rsid w:val="004C1638"/>
    <w:rsid w:val="004C5FDC"/>
    <w:rsid w:val="004C7F7C"/>
    <w:rsid w:val="004D18CF"/>
    <w:rsid w:val="004D378C"/>
    <w:rsid w:val="004D5388"/>
    <w:rsid w:val="004D782F"/>
    <w:rsid w:val="004F53ED"/>
    <w:rsid w:val="004F6570"/>
    <w:rsid w:val="004F762F"/>
    <w:rsid w:val="00500B7D"/>
    <w:rsid w:val="00500CC8"/>
    <w:rsid w:val="00502425"/>
    <w:rsid w:val="005054F2"/>
    <w:rsid w:val="00505F7B"/>
    <w:rsid w:val="005104E7"/>
    <w:rsid w:val="00514584"/>
    <w:rsid w:val="00515B83"/>
    <w:rsid w:val="00516828"/>
    <w:rsid w:val="00521C91"/>
    <w:rsid w:val="00523EDE"/>
    <w:rsid w:val="00524B90"/>
    <w:rsid w:val="00525429"/>
    <w:rsid w:val="00526B11"/>
    <w:rsid w:val="005308F5"/>
    <w:rsid w:val="00536040"/>
    <w:rsid w:val="00536733"/>
    <w:rsid w:val="005405E3"/>
    <w:rsid w:val="00545D48"/>
    <w:rsid w:val="00545FBE"/>
    <w:rsid w:val="00550AE5"/>
    <w:rsid w:val="00554729"/>
    <w:rsid w:val="0055613B"/>
    <w:rsid w:val="00557CB1"/>
    <w:rsid w:val="005609F5"/>
    <w:rsid w:val="00562EFD"/>
    <w:rsid w:val="00563137"/>
    <w:rsid w:val="00571043"/>
    <w:rsid w:val="00572CF5"/>
    <w:rsid w:val="005739B6"/>
    <w:rsid w:val="00574005"/>
    <w:rsid w:val="00575295"/>
    <w:rsid w:val="00575E71"/>
    <w:rsid w:val="00584339"/>
    <w:rsid w:val="0058692A"/>
    <w:rsid w:val="00586C34"/>
    <w:rsid w:val="005A1C40"/>
    <w:rsid w:val="005A6D95"/>
    <w:rsid w:val="005A7473"/>
    <w:rsid w:val="005B60E4"/>
    <w:rsid w:val="005B6304"/>
    <w:rsid w:val="005B6E2A"/>
    <w:rsid w:val="005C000B"/>
    <w:rsid w:val="005C1D9D"/>
    <w:rsid w:val="005D5236"/>
    <w:rsid w:val="005D5632"/>
    <w:rsid w:val="005D6FC8"/>
    <w:rsid w:val="005F1877"/>
    <w:rsid w:val="006015F9"/>
    <w:rsid w:val="00603785"/>
    <w:rsid w:val="00605137"/>
    <w:rsid w:val="0060614A"/>
    <w:rsid w:val="00606D6E"/>
    <w:rsid w:val="00607E85"/>
    <w:rsid w:val="0061114E"/>
    <w:rsid w:val="00622183"/>
    <w:rsid w:val="00624515"/>
    <w:rsid w:val="00633CCA"/>
    <w:rsid w:val="006430DF"/>
    <w:rsid w:val="00643131"/>
    <w:rsid w:val="00644ACA"/>
    <w:rsid w:val="00647A01"/>
    <w:rsid w:val="00651F20"/>
    <w:rsid w:val="00657E12"/>
    <w:rsid w:val="00661A12"/>
    <w:rsid w:val="006627BD"/>
    <w:rsid w:val="00663A87"/>
    <w:rsid w:val="00665608"/>
    <w:rsid w:val="006673BC"/>
    <w:rsid w:val="00672479"/>
    <w:rsid w:val="00674BAA"/>
    <w:rsid w:val="00676162"/>
    <w:rsid w:val="0068271B"/>
    <w:rsid w:val="00682EC7"/>
    <w:rsid w:val="00683111"/>
    <w:rsid w:val="006858D1"/>
    <w:rsid w:val="0068617C"/>
    <w:rsid w:val="00695258"/>
    <w:rsid w:val="0069529D"/>
    <w:rsid w:val="0069659F"/>
    <w:rsid w:val="00697062"/>
    <w:rsid w:val="006A014E"/>
    <w:rsid w:val="006A0922"/>
    <w:rsid w:val="006A0BE5"/>
    <w:rsid w:val="006A1E6A"/>
    <w:rsid w:val="006A2828"/>
    <w:rsid w:val="006A3F9F"/>
    <w:rsid w:val="006B03DA"/>
    <w:rsid w:val="006B1239"/>
    <w:rsid w:val="006B3D11"/>
    <w:rsid w:val="006B44ED"/>
    <w:rsid w:val="006C4936"/>
    <w:rsid w:val="006C57B0"/>
    <w:rsid w:val="006C68D3"/>
    <w:rsid w:val="006C7D2A"/>
    <w:rsid w:val="006D5725"/>
    <w:rsid w:val="006E1188"/>
    <w:rsid w:val="006E18FA"/>
    <w:rsid w:val="006E2545"/>
    <w:rsid w:val="006E2E7F"/>
    <w:rsid w:val="006E5B0E"/>
    <w:rsid w:val="006F1591"/>
    <w:rsid w:val="006F1AB7"/>
    <w:rsid w:val="006F56A1"/>
    <w:rsid w:val="00702B0F"/>
    <w:rsid w:val="00703194"/>
    <w:rsid w:val="00706BB0"/>
    <w:rsid w:val="007128C2"/>
    <w:rsid w:val="00715D6F"/>
    <w:rsid w:val="00717A4B"/>
    <w:rsid w:val="007201AD"/>
    <w:rsid w:val="00722459"/>
    <w:rsid w:val="00724ADF"/>
    <w:rsid w:val="00732FFF"/>
    <w:rsid w:val="00735248"/>
    <w:rsid w:val="007353C9"/>
    <w:rsid w:val="00736F19"/>
    <w:rsid w:val="00742394"/>
    <w:rsid w:val="00743A60"/>
    <w:rsid w:val="007527A3"/>
    <w:rsid w:val="0075377C"/>
    <w:rsid w:val="007560F4"/>
    <w:rsid w:val="00757A4A"/>
    <w:rsid w:val="00761F26"/>
    <w:rsid w:val="007627EA"/>
    <w:rsid w:val="00764E30"/>
    <w:rsid w:val="0076640E"/>
    <w:rsid w:val="00767D47"/>
    <w:rsid w:val="00771609"/>
    <w:rsid w:val="00776583"/>
    <w:rsid w:val="00790F96"/>
    <w:rsid w:val="00793F8F"/>
    <w:rsid w:val="00797119"/>
    <w:rsid w:val="007A1735"/>
    <w:rsid w:val="007A2ACC"/>
    <w:rsid w:val="007A5C1A"/>
    <w:rsid w:val="007B05ED"/>
    <w:rsid w:val="007B2D45"/>
    <w:rsid w:val="007B4F76"/>
    <w:rsid w:val="007C182C"/>
    <w:rsid w:val="007C58B6"/>
    <w:rsid w:val="007D3147"/>
    <w:rsid w:val="007D48E2"/>
    <w:rsid w:val="007D4AA0"/>
    <w:rsid w:val="007E1926"/>
    <w:rsid w:val="007E1BAA"/>
    <w:rsid w:val="007E4B6E"/>
    <w:rsid w:val="007E5B3D"/>
    <w:rsid w:val="007E7DBE"/>
    <w:rsid w:val="007F2E5E"/>
    <w:rsid w:val="00804860"/>
    <w:rsid w:val="008109DA"/>
    <w:rsid w:val="008139C3"/>
    <w:rsid w:val="0081744C"/>
    <w:rsid w:val="0082568F"/>
    <w:rsid w:val="00830C10"/>
    <w:rsid w:val="00831255"/>
    <w:rsid w:val="008459E6"/>
    <w:rsid w:val="00845EF2"/>
    <w:rsid w:val="008505FE"/>
    <w:rsid w:val="008511AC"/>
    <w:rsid w:val="00851ACE"/>
    <w:rsid w:val="00852138"/>
    <w:rsid w:val="00852F13"/>
    <w:rsid w:val="00852FC6"/>
    <w:rsid w:val="008575AD"/>
    <w:rsid w:val="00860060"/>
    <w:rsid w:val="00860B31"/>
    <w:rsid w:val="00862393"/>
    <w:rsid w:val="00863B66"/>
    <w:rsid w:val="00865875"/>
    <w:rsid w:val="0087078B"/>
    <w:rsid w:val="00873310"/>
    <w:rsid w:val="008756E4"/>
    <w:rsid w:val="00876485"/>
    <w:rsid w:val="0087741E"/>
    <w:rsid w:val="00877EC9"/>
    <w:rsid w:val="00884406"/>
    <w:rsid w:val="00885979"/>
    <w:rsid w:val="00886558"/>
    <w:rsid w:val="0089431C"/>
    <w:rsid w:val="00894C83"/>
    <w:rsid w:val="00894DF7"/>
    <w:rsid w:val="008A0EEE"/>
    <w:rsid w:val="008A2FFF"/>
    <w:rsid w:val="008A3C93"/>
    <w:rsid w:val="008A658D"/>
    <w:rsid w:val="008B08FD"/>
    <w:rsid w:val="008B0DF7"/>
    <w:rsid w:val="008B2314"/>
    <w:rsid w:val="008C70F8"/>
    <w:rsid w:val="008E06C3"/>
    <w:rsid w:val="008E0E7E"/>
    <w:rsid w:val="008E1EEC"/>
    <w:rsid w:val="008E3466"/>
    <w:rsid w:val="008E40B2"/>
    <w:rsid w:val="008E5278"/>
    <w:rsid w:val="008E52D3"/>
    <w:rsid w:val="008F1481"/>
    <w:rsid w:val="008F27AB"/>
    <w:rsid w:val="008F55C9"/>
    <w:rsid w:val="008F6FC1"/>
    <w:rsid w:val="00900C60"/>
    <w:rsid w:val="00901DDD"/>
    <w:rsid w:val="0091158F"/>
    <w:rsid w:val="00911BA8"/>
    <w:rsid w:val="00913659"/>
    <w:rsid w:val="00917EF1"/>
    <w:rsid w:val="009230A9"/>
    <w:rsid w:val="00923D51"/>
    <w:rsid w:val="00926D28"/>
    <w:rsid w:val="0093236F"/>
    <w:rsid w:val="009329E5"/>
    <w:rsid w:val="0093364F"/>
    <w:rsid w:val="009360C1"/>
    <w:rsid w:val="00942604"/>
    <w:rsid w:val="009449B2"/>
    <w:rsid w:val="00946C30"/>
    <w:rsid w:val="00951248"/>
    <w:rsid w:val="009525B7"/>
    <w:rsid w:val="00963975"/>
    <w:rsid w:val="00963AC0"/>
    <w:rsid w:val="00985F0E"/>
    <w:rsid w:val="009915AE"/>
    <w:rsid w:val="00992638"/>
    <w:rsid w:val="00994C9C"/>
    <w:rsid w:val="00995B9D"/>
    <w:rsid w:val="009A2E6D"/>
    <w:rsid w:val="009A40C5"/>
    <w:rsid w:val="009A70F4"/>
    <w:rsid w:val="009B3EA4"/>
    <w:rsid w:val="009B7BA4"/>
    <w:rsid w:val="009B7F53"/>
    <w:rsid w:val="009C0A56"/>
    <w:rsid w:val="009C1C08"/>
    <w:rsid w:val="009C2425"/>
    <w:rsid w:val="009C3757"/>
    <w:rsid w:val="009C37A7"/>
    <w:rsid w:val="009C54B3"/>
    <w:rsid w:val="009C5DFE"/>
    <w:rsid w:val="009D0429"/>
    <w:rsid w:val="009D0E11"/>
    <w:rsid w:val="009D22F1"/>
    <w:rsid w:val="009D5873"/>
    <w:rsid w:val="009E5ACA"/>
    <w:rsid w:val="009E76F6"/>
    <w:rsid w:val="00A02313"/>
    <w:rsid w:val="00A0262B"/>
    <w:rsid w:val="00A02BAC"/>
    <w:rsid w:val="00A11777"/>
    <w:rsid w:val="00A11F00"/>
    <w:rsid w:val="00A13792"/>
    <w:rsid w:val="00A158AC"/>
    <w:rsid w:val="00A162B6"/>
    <w:rsid w:val="00A16974"/>
    <w:rsid w:val="00A17628"/>
    <w:rsid w:val="00A20FEE"/>
    <w:rsid w:val="00A213A8"/>
    <w:rsid w:val="00A25C70"/>
    <w:rsid w:val="00A3025D"/>
    <w:rsid w:val="00A30F81"/>
    <w:rsid w:val="00A31D88"/>
    <w:rsid w:val="00A34A06"/>
    <w:rsid w:val="00A34F08"/>
    <w:rsid w:val="00A35419"/>
    <w:rsid w:val="00A37877"/>
    <w:rsid w:val="00A37DA3"/>
    <w:rsid w:val="00A40C39"/>
    <w:rsid w:val="00A42292"/>
    <w:rsid w:val="00A47BB5"/>
    <w:rsid w:val="00A541D9"/>
    <w:rsid w:val="00A55A90"/>
    <w:rsid w:val="00A5754D"/>
    <w:rsid w:val="00A65FC9"/>
    <w:rsid w:val="00A6611D"/>
    <w:rsid w:val="00A70290"/>
    <w:rsid w:val="00A714DE"/>
    <w:rsid w:val="00A7294D"/>
    <w:rsid w:val="00A769E1"/>
    <w:rsid w:val="00A77026"/>
    <w:rsid w:val="00A90224"/>
    <w:rsid w:val="00A91EDA"/>
    <w:rsid w:val="00A92568"/>
    <w:rsid w:val="00A92B1E"/>
    <w:rsid w:val="00A94424"/>
    <w:rsid w:val="00A954D4"/>
    <w:rsid w:val="00AA2AA0"/>
    <w:rsid w:val="00AB00AE"/>
    <w:rsid w:val="00AB0144"/>
    <w:rsid w:val="00AB1550"/>
    <w:rsid w:val="00AB3042"/>
    <w:rsid w:val="00AB4840"/>
    <w:rsid w:val="00AB4F51"/>
    <w:rsid w:val="00AB54E6"/>
    <w:rsid w:val="00AB5A30"/>
    <w:rsid w:val="00AC17C3"/>
    <w:rsid w:val="00AC29EF"/>
    <w:rsid w:val="00AC38BC"/>
    <w:rsid w:val="00AC3ADB"/>
    <w:rsid w:val="00AC6582"/>
    <w:rsid w:val="00AC67D9"/>
    <w:rsid w:val="00AC6C75"/>
    <w:rsid w:val="00AC7001"/>
    <w:rsid w:val="00AD07A3"/>
    <w:rsid w:val="00AD12D3"/>
    <w:rsid w:val="00AD1DFF"/>
    <w:rsid w:val="00AD2E77"/>
    <w:rsid w:val="00AD4BB7"/>
    <w:rsid w:val="00AD4C8A"/>
    <w:rsid w:val="00AD4E22"/>
    <w:rsid w:val="00AE15C9"/>
    <w:rsid w:val="00AE178D"/>
    <w:rsid w:val="00AE1DCC"/>
    <w:rsid w:val="00AE2785"/>
    <w:rsid w:val="00AE37F5"/>
    <w:rsid w:val="00AE4D8F"/>
    <w:rsid w:val="00AE6B8D"/>
    <w:rsid w:val="00AF2058"/>
    <w:rsid w:val="00AF269E"/>
    <w:rsid w:val="00B02B64"/>
    <w:rsid w:val="00B0452F"/>
    <w:rsid w:val="00B17FF5"/>
    <w:rsid w:val="00B21991"/>
    <w:rsid w:val="00B2250B"/>
    <w:rsid w:val="00B2269D"/>
    <w:rsid w:val="00B267D4"/>
    <w:rsid w:val="00B319E0"/>
    <w:rsid w:val="00B35A62"/>
    <w:rsid w:val="00B40253"/>
    <w:rsid w:val="00B46081"/>
    <w:rsid w:val="00B46C1C"/>
    <w:rsid w:val="00B53A5C"/>
    <w:rsid w:val="00B55AF6"/>
    <w:rsid w:val="00B56FC0"/>
    <w:rsid w:val="00B57F58"/>
    <w:rsid w:val="00B615FD"/>
    <w:rsid w:val="00B621C1"/>
    <w:rsid w:val="00B660EC"/>
    <w:rsid w:val="00B6682C"/>
    <w:rsid w:val="00B714A0"/>
    <w:rsid w:val="00B75944"/>
    <w:rsid w:val="00B760D5"/>
    <w:rsid w:val="00B761AD"/>
    <w:rsid w:val="00B76BD1"/>
    <w:rsid w:val="00B82CE2"/>
    <w:rsid w:val="00B830BE"/>
    <w:rsid w:val="00B83F1F"/>
    <w:rsid w:val="00B84C82"/>
    <w:rsid w:val="00B86125"/>
    <w:rsid w:val="00B877DA"/>
    <w:rsid w:val="00B9000C"/>
    <w:rsid w:val="00B90EE2"/>
    <w:rsid w:val="00B9261E"/>
    <w:rsid w:val="00B95FF0"/>
    <w:rsid w:val="00B96287"/>
    <w:rsid w:val="00BA0428"/>
    <w:rsid w:val="00BA1F07"/>
    <w:rsid w:val="00BA6D0F"/>
    <w:rsid w:val="00BB329B"/>
    <w:rsid w:val="00BB44BD"/>
    <w:rsid w:val="00BC2730"/>
    <w:rsid w:val="00BC27F0"/>
    <w:rsid w:val="00BC6169"/>
    <w:rsid w:val="00BC6B65"/>
    <w:rsid w:val="00BC76F1"/>
    <w:rsid w:val="00BD085E"/>
    <w:rsid w:val="00BD5283"/>
    <w:rsid w:val="00BD5753"/>
    <w:rsid w:val="00BD5ADA"/>
    <w:rsid w:val="00BE2128"/>
    <w:rsid w:val="00BE226E"/>
    <w:rsid w:val="00BE5728"/>
    <w:rsid w:val="00BE5B64"/>
    <w:rsid w:val="00BF0ADE"/>
    <w:rsid w:val="00C043C8"/>
    <w:rsid w:val="00C06360"/>
    <w:rsid w:val="00C154DD"/>
    <w:rsid w:val="00C23229"/>
    <w:rsid w:val="00C26F84"/>
    <w:rsid w:val="00C30C4F"/>
    <w:rsid w:val="00C333FB"/>
    <w:rsid w:val="00C339B9"/>
    <w:rsid w:val="00C40140"/>
    <w:rsid w:val="00C413AF"/>
    <w:rsid w:val="00C41583"/>
    <w:rsid w:val="00C4589F"/>
    <w:rsid w:val="00C50D10"/>
    <w:rsid w:val="00C538C0"/>
    <w:rsid w:val="00C53F62"/>
    <w:rsid w:val="00C60DA8"/>
    <w:rsid w:val="00C66458"/>
    <w:rsid w:val="00C6786E"/>
    <w:rsid w:val="00C7576B"/>
    <w:rsid w:val="00C76943"/>
    <w:rsid w:val="00C9557E"/>
    <w:rsid w:val="00C973C7"/>
    <w:rsid w:val="00CA1D95"/>
    <w:rsid w:val="00CA6FDF"/>
    <w:rsid w:val="00CB147F"/>
    <w:rsid w:val="00CB24C7"/>
    <w:rsid w:val="00CB5631"/>
    <w:rsid w:val="00CC031B"/>
    <w:rsid w:val="00CC52FE"/>
    <w:rsid w:val="00CC57FC"/>
    <w:rsid w:val="00CD117F"/>
    <w:rsid w:val="00CD2413"/>
    <w:rsid w:val="00CD3678"/>
    <w:rsid w:val="00CD55ED"/>
    <w:rsid w:val="00CD7667"/>
    <w:rsid w:val="00CE7B42"/>
    <w:rsid w:val="00CF0F14"/>
    <w:rsid w:val="00CF2C61"/>
    <w:rsid w:val="00CF3FAA"/>
    <w:rsid w:val="00CF75C9"/>
    <w:rsid w:val="00CF7E92"/>
    <w:rsid w:val="00D072F0"/>
    <w:rsid w:val="00D12D0E"/>
    <w:rsid w:val="00D132D3"/>
    <w:rsid w:val="00D222E0"/>
    <w:rsid w:val="00D225D1"/>
    <w:rsid w:val="00D24FAB"/>
    <w:rsid w:val="00D259A9"/>
    <w:rsid w:val="00D30397"/>
    <w:rsid w:val="00D304CF"/>
    <w:rsid w:val="00D3192B"/>
    <w:rsid w:val="00D36405"/>
    <w:rsid w:val="00D417DF"/>
    <w:rsid w:val="00D444AA"/>
    <w:rsid w:val="00D45CC0"/>
    <w:rsid w:val="00D5126F"/>
    <w:rsid w:val="00D51957"/>
    <w:rsid w:val="00D556E0"/>
    <w:rsid w:val="00D57F47"/>
    <w:rsid w:val="00D61CC9"/>
    <w:rsid w:val="00D648C7"/>
    <w:rsid w:val="00D703D1"/>
    <w:rsid w:val="00D729C7"/>
    <w:rsid w:val="00D74008"/>
    <w:rsid w:val="00D80DD1"/>
    <w:rsid w:val="00D80FBF"/>
    <w:rsid w:val="00D81F1F"/>
    <w:rsid w:val="00D84F34"/>
    <w:rsid w:val="00D8782A"/>
    <w:rsid w:val="00D92C9C"/>
    <w:rsid w:val="00D92E97"/>
    <w:rsid w:val="00D94BCD"/>
    <w:rsid w:val="00D95AA5"/>
    <w:rsid w:val="00D97C7F"/>
    <w:rsid w:val="00DA0FEB"/>
    <w:rsid w:val="00DA2211"/>
    <w:rsid w:val="00DA3AF8"/>
    <w:rsid w:val="00DA78E5"/>
    <w:rsid w:val="00DB0DE5"/>
    <w:rsid w:val="00DB6848"/>
    <w:rsid w:val="00DB7FF4"/>
    <w:rsid w:val="00DC7E1E"/>
    <w:rsid w:val="00DD1060"/>
    <w:rsid w:val="00DD1396"/>
    <w:rsid w:val="00DD756A"/>
    <w:rsid w:val="00DE0A87"/>
    <w:rsid w:val="00DE3817"/>
    <w:rsid w:val="00DF0F85"/>
    <w:rsid w:val="00DF1DE3"/>
    <w:rsid w:val="00DF65FB"/>
    <w:rsid w:val="00E01B63"/>
    <w:rsid w:val="00E1002B"/>
    <w:rsid w:val="00E14C48"/>
    <w:rsid w:val="00E27372"/>
    <w:rsid w:val="00E34337"/>
    <w:rsid w:val="00E353A7"/>
    <w:rsid w:val="00E41CE9"/>
    <w:rsid w:val="00E42149"/>
    <w:rsid w:val="00E43631"/>
    <w:rsid w:val="00E4520B"/>
    <w:rsid w:val="00E464DE"/>
    <w:rsid w:val="00E46F8D"/>
    <w:rsid w:val="00E47154"/>
    <w:rsid w:val="00E505C1"/>
    <w:rsid w:val="00E50E5E"/>
    <w:rsid w:val="00E60977"/>
    <w:rsid w:val="00E64928"/>
    <w:rsid w:val="00E65FE4"/>
    <w:rsid w:val="00E700CC"/>
    <w:rsid w:val="00E70EAA"/>
    <w:rsid w:val="00E720FF"/>
    <w:rsid w:val="00E72857"/>
    <w:rsid w:val="00E73938"/>
    <w:rsid w:val="00E74E85"/>
    <w:rsid w:val="00E75654"/>
    <w:rsid w:val="00E80F77"/>
    <w:rsid w:val="00E81865"/>
    <w:rsid w:val="00E83345"/>
    <w:rsid w:val="00E84093"/>
    <w:rsid w:val="00E848D2"/>
    <w:rsid w:val="00E90DC9"/>
    <w:rsid w:val="00E90E0F"/>
    <w:rsid w:val="00EA2B12"/>
    <w:rsid w:val="00EA2CCD"/>
    <w:rsid w:val="00EA49AA"/>
    <w:rsid w:val="00EA5958"/>
    <w:rsid w:val="00EA6BE7"/>
    <w:rsid w:val="00EB33ED"/>
    <w:rsid w:val="00EB4F6D"/>
    <w:rsid w:val="00EB68B9"/>
    <w:rsid w:val="00EC38F2"/>
    <w:rsid w:val="00EC7049"/>
    <w:rsid w:val="00ED0003"/>
    <w:rsid w:val="00ED4269"/>
    <w:rsid w:val="00EE1351"/>
    <w:rsid w:val="00EF2411"/>
    <w:rsid w:val="00EF7443"/>
    <w:rsid w:val="00EF7823"/>
    <w:rsid w:val="00F01E3D"/>
    <w:rsid w:val="00F030AE"/>
    <w:rsid w:val="00F06F48"/>
    <w:rsid w:val="00F13C1B"/>
    <w:rsid w:val="00F20E45"/>
    <w:rsid w:val="00F2614C"/>
    <w:rsid w:val="00F325C8"/>
    <w:rsid w:val="00F35352"/>
    <w:rsid w:val="00F41DED"/>
    <w:rsid w:val="00F44FAF"/>
    <w:rsid w:val="00F45689"/>
    <w:rsid w:val="00F526C6"/>
    <w:rsid w:val="00F52DDD"/>
    <w:rsid w:val="00F55082"/>
    <w:rsid w:val="00F55B8D"/>
    <w:rsid w:val="00F61050"/>
    <w:rsid w:val="00F62FB2"/>
    <w:rsid w:val="00F708CA"/>
    <w:rsid w:val="00F71650"/>
    <w:rsid w:val="00F71A85"/>
    <w:rsid w:val="00F72833"/>
    <w:rsid w:val="00F736D3"/>
    <w:rsid w:val="00F76AEF"/>
    <w:rsid w:val="00F82A7A"/>
    <w:rsid w:val="00F844B9"/>
    <w:rsid w:val="00F84E68"/>
    <w:rsid w:val="00F8521E"/>
    <w:rsid w:val="00F8718A"/>
    <w:rsid w:val="00F87523"/>
    <w:rsid w:val="00F92019"/>
    <w:rsid w:val="00F93AF0"/>
    <w:rsid w:val="00F97B22"/>
    <w:rsid w:val="00FB0250"/>
    <w:rsid w:val="00FB1118"/>
    <w:rsid w:val="00FB19BF"/>
    <w:rsid w:val="00FB363C"/>
    <w:rsid w:val="00FB4D4F"/>
    <w:rsid w:val="00FB75BD"/>
    <w:rsid w:val="00FB777C"/>
    <w:rsid w:val="00FC25A9"/>
    <w:rsid w:val="00FC270A"/>
    <w:rsid w:val="00FC36C6"/>
    <w:rsid w:val="00FC5C8A"/>
    <w:rsid w:val="00FC6AF1"/>
    <w:rsid w:val="00FD0A64"/>
    <w:rsid w:val="00FD2FA7"/>
    <w:rsid w:val="00FD3706"/>
    <w:rsid w:val="00FD3DB4"/>
    <w:rsid w:val="00FE16CA"/>
    <w:rsid w:val="00FE1F6A"/>
    <w:rsid w:val="00FE4DDB"/>
    <w:rsid w:val="00FE65A1"/>
    <w:rsid w:val="00FF06D5"/>
    <w:rsid w:val="00FF1CCC"/>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9525B7"/>
    <w:rPr>
      <w:rFonts w:ascii="Tahoma" w:hAnsi="Tahoma" w:cs="Tahoma"/>
      <w:sz w:val="16"/>
      <w:szCs w:val="16"/>
    </w:rPr>
  </w:style>
  <w:style w:type="character" w:customStyle="1" w:styleId="ae">
    <w:name w:val="Текст выноски Знак"/>
    <w:basedOn w:val="a0"/>
    <w:link w:val="ad"/>
    <w:rsid w:val="0095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9036990">
      <w:bodyDiv w:val="1"/>
      <w:marLeft w:val="0"/>
      <w:marRight w:val="0"/>
      <w:marTop w:val="0"/>
      <w:marBottom w:val="0"/>
      <w:divBdr>
        <w:top w:val="none" w:sz="0" w:space="0" w:color="auto"/>
        <w:left w:val="none" w:sz="0" w:space="0" w:color="auto"/>
        <w:bottom w:val="none" w:sz="0" w:space="0" w:color="auto"/>
        <w:right w:val="none" w:sz="0" w:space="0" w:color="auto"/>
      </w:divBdr>
    </w:div>
    <w:div w:id="53311459">
      <w:bodyDiv w:val="1"/>
      <w:marLeft w:val="0"/>
      <w:marRight w:val="0"/>
      <w:marTop w:val="0"/>
      <w:marBottom w:val="0"/>
      <w:divBdr>
        <w:top w:val="none" w:sz="0" w:space="0" w:color="auto"/>
        <w:left w:val="none" w:sz="0" w:space="0" w:color="auto"/>
        <w:bottom w:val="none" w:sz="0" w:space="0" w:color="auto"/>
        <w:right w:val="none" w:sz="0" w:space="0" w:color="auto"/>
      </w:divBdr>
    </w:div>
    <w:div w:id="58331457">
      <w:bodyDiv w:val="1"/>
      <w:marLeft w:val="0"/>
      <w:marRight w:val="0"/>
      <w:marTop w:val="0"/>
      <w:marBottom w:val="0"/>
      <w:divBdr>
        <w:top w:val="none" w:sz="0" w:space="0" w:color="auto"/>
        <w:left w:val="none" w:sz="0" w:space="0" w:color="auto"/>
        <w:bottom w:val="none" w:sz="0" w:space="0" w:color="auto"/>
        <w:right w:val="none" w:sz="0" w:space="0" w:color="auto"/>
      </w:divBdr>
    </w:div>
    <w:div w:id="103233840">
      <w:bodyDiv w:val="1"/>
      <w:marLeft w:val="0"/>
      <w:marRight w:val="0"/>
      <w:marTop w:val="0"/>
      <w:marBottom w:val="0"/>
      <w:divBdr>
        <w:top w:val="none" w:sz="0" w:space="0" w:color="auto"/>
        <w:left w:val="none" w:sz="0" w:space="0" w:color="auto"/>
        <w:bottom w:val="none" w:sz="0" w:space="0" w:color="auto"/>
        <w:right w:val="none" w:sz="0" w:space="0" w:color="auto"/>
      </w:divBdr>
    </w:div>
    <w:div w:id="109058814">
      <w:bodyDiv w:val="1"/>
      <w:marLeft w:val="0"/>
      <w:marRight w:val="0"/>
      <w:marTop w:val="0"/>
      <w:marBottom w:val="0"/>
      <w:divBdr>
        <w:top w:val="none" w:sz="0" w:space="0" w:color="auto"/>
        <w:left w:val="none" w:sz="0" w:space="0" w:color="auto"/>
        <w:bottom w:val="none" w:sz="0" w:space="0" w:color="auto"/>
        <w:right w:val="none" w:sz="0" w:space="0" w:color="auto"/>
      </w:divBdr>
    </w:div>
    <w:div w:id="124349866">
      <w:bodyDiv w:val="1"/>
      <w:marLeft w:val="0"/>
      <w:marRight w:val="0"/>
      <w:marTop w:val="0"/>
      <w:marBottom w:val="0"/>
      <w:divBdr>
        <w:top w:val="none" w:sz="0" w:space="0" w:color="auto"/>
        <w:left w:val="none" w:sz="0" w:space="0" w:color="auto"/>
        <w:bottom w:val="none" w:sz="0" w:space="0" w:color="auto"/>
        <w:right w:val="none" w:sz="0" w:space="0" w:color="auto"/>
      </w:divBdr>
    </w:div>
    <w:div w:id="136845686">
      <w:bodyDiv w:val="1"/>
      <w:marLeft w:val="0"/>
      <w:marRight w:val="0"/>
      <w:marTop w:val="0"/>
      <w:marBottom w:val="0"/>
      <w:divBdr>
        <w:top w:val="none" w:sz="0" w:space="0" w:color="auto"/>
        <w:left w:val="none" w:sz="0" w:space="0" w:color="auto"/>
        <w:bottom w:val="none" w:sz="0" w:space="0" w:color="auto"/>
        <w:right w:val="none" w:sz="0" w:space="0" w:color="auto"/>
      </w:divBdr>
    </w:div>
    <w:div w:id="141779791">
      <w:bodyDiv w:val="1"/>
      <w:marLeft w:val="0"/>
      <w:marRight w:val="0"/>
      <w:marTop w:val="0"/>
      <w:marBottom w:val="0"/>
      <w:divBdr>
        <w:top w:val="none" w:sz="0" w:space="0" w:color="auto"/>
        <w:left w:val="none" w:sz="0" w:space="0" w:color="auto"/>
        <w:bottom w:val="none" w:sz="0" w:space="0" w:color="auto"/>
        <w:right w:val="none" w:sz="0" w:space="0" w:color="auto"/>
      </w:divBdr>
    </w:div>
    <w:div w:id="176240488">
      <w:bodyDiv w:val="1"/>
      <w:marLeft w:val="0"/>
      <w:marRight w:val="0"/>
      <w:marTop w:val="0"/>
      <w:marBottom w:val="0"/>
      <w:divBdr>
        <w:top w:val="none" w:sz="0" w:space="0" w:color="auto"/>
        <w:left w:val="none" w:sz="0" w:space="0" w:color="auto"/>
        <w:bottom w:val="none" w:sz="0" w:space="0" w:color="auto"/>
        <w:right w:val="none" w:sz="0" w:space="0" w:color="auto"/>
      </w:divBdr>
    </w:div>
    <w:div w:id="182326879">
      <w:bodyDiv w:val="1"/>
      <w:marLeft w:val="0"/>
      <w:marRight w:val="0"/>
      <w:marTop w:val="0"/>
      <w:marBottom w:val="0"/>
      <w:divBdr>
        <w:top w:val="none" w:sz="0" w:space="0" w:color="auto"/>
        <w:left w:val="none" w:sz="0" w:space="0" w:color="auto"/>
        <w:bottom w:val="none" w:sz="0" w:space="0" w:color="auto"/>
        <w:right w:val="none" w:sz="0" w:space="0" w:color="auto"/>
      </w:divBdr>
    </w:div>
    <w:div w:id="187257129">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 w:id="341902830">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7732308">
      <w:bodyDiv w:val="1"/>
      <w:marLeft w:val="0"/>
      <w:marRight w:val="0"/>
      <w:marTop w:val="0"/>
      <w:marBottom w:val="0"/>
      <w:divBdr>
        <w:top w:val="none" w:sz="0" w:space="0" w:color="auto"/>
        <w:left w:val="none" w:sz="0" w:space="0" w:color="auto"/>
        <w:bottom w:val="none" w:sz="0" w:space="0" w:color="auto"/>
        <w:right w:val="none" w:sz="0" w:space="0" w:color="auto"/>
      </w:divBdr>
    </w:div>
    <w:div w:id="404764905">
      <w:bodyDiv w:val="1"/>
      <w:marLeft w:val="0"/>
      <w:marRight w:val="0"/>
      <w:marTop w:val="0"/>
      <w:marBottom w:val="0"/>
      <w:divBdr>
        <w:top w:val="none" w:sz="0" w:space="0" w:color="auto"/>
        <w:left w:val="none" w:sz="0" w:space="0" w:color="auto"/>
        <w:bottom w:val="none" w:sz="0" w:space="0" w:color="auto"/>
        <w:right w:val="none" w:sz="0" w:space="0" w:color="auto"/>
      </w:divBdr>
    </w:div>
    <w:div w:id="406852996">
      <w:bodyDiv w:val="1"/>
      <w:marLeft w:val="0"/>
      <w:marRight w:val="0"/>
      <w:marTop w:val="0"/>
      <w:marBottom w:val="0"/>
      <w:divBdr>
        <w:top w:val="none" w:sz="0" w:space="0" w:color="auto"/>
        <w:left w:val="none" w:sz="0" w:space="0" w:color="auto"/>
        <w:bottom w:val="none" w:sz="0" w:space="0" w:color="auto"/>
        <w:right w:val="none" w:sz="0" w:space="0" w:color="auto"/>
      </w:divBdr>
    </w:div>
    <w:div w:id="425155843">
      <w:bodyDiv w:val="1"/>
      <w:marLeft w:val="0"/>
      <w:marRight w:val="0"/>
      <w:marTop w:val="0"/>
      <w:marBottom w:val="0"/>
      <w:divBdr>
        <w:top w:val="none" w:sz="0" w:space="0" w:color="auto"/>
        <w:left w:val="none" w:sz="0" w:space="0" w:color="auto"/>
        <w:bottom w:val="none" w:sz="0" w:space="0" w:color="auto"/>
        <w:right w:val="none" w:sz="0" w:space="0" w:color="auto"/>
      </w:divBdr>
    </w:div>
    <w:div w:id="425418289">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37600061">
      <w:bodyDiv w:val="1"/>
      <w:marLeft w:val="0"/>
      <w:marRight w:val="0"/>
      <w:marTop w:val="0"/>
      <w:marBottom w:val="0"/>
      <w:divBdr>
        <w:top w:val="none" w:sz="0" w:space="0" w:color="auto"/>
        <w:left w:val="none" w:sz="0" w:space="0" w:color="auto"/>
        <w:bottom w:val="none" w:sz="0" w:space="0" w:color="auto"/>
        <w:right w:val="none" w:sz="0" w:space="0" w:color="auto"/>
      </w:divBdr>
    </w:div>
    <w:div w:id="458424954">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10491586">
      <w:bodyDiv w:val="1"/>
      <w:marLeft w:val="0"/>
      <w:marRight w:val="0"/>
      <w:marTop w:val="0"/>
      <w:marBottom w:val="0"/>
      <w:divBdr>
        <w:top w:val="none" w:sz="0" w:space="0" w:color="auto"/>
        <w:left w:val="none" w:sz="0" w:space="0" w:color="auto"/>
        <w:bottom w:val="none" w:sz="0" w:space="0" w:color="auto"/>
        <w:right w:val="none" w:sz="0" w:space="0" w:color="auto"/>
      </w:divBdr>
    </w:div>
    <w:div w:id="530453887">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1347301">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882190">
      <w:bodyDiv w:val="1"/>
      <w:marLeft w:val="0"/>
      <w:marRight w:val="0"/>
      <w:marTop w:val="0"/>
      <w:marBottom w:val="0"/>
      <w:divBdr>
        <w:top w:val="none" w:sz="0" w:space="0" w:color="auto"/>
        <w:left w:val="none" w:sz="0" w:space="0" w:color="auto"/>
        <w:bottom w:val="none" w:sz="0" w:space="0" w:color="auto"/>
        <w:right w:val="none" w:sz="0" w:space="0" w:color="auto"/>
      </w:divBdr>
    </w:div>
    <w:div w:id="692271283">
      <w:bodyDiv w:val="1"/>
      <w:marLeft w:val="0"/>
      <w:marRight w:val="0"/>
      <w:marTop w:val="0"/>
      <w:marBottom w:val="0"/>
      <w:divBdr>
        <w:top w:val="none" w:sz="0" w:space="0" w:color="auto"/>
        <w:left w:val="none" w:sz="0" w:space="0" w:color="auto"/>
        <w:bottom w:val="none" w:sz="0" w:space="0" w:color="auto"/>
        <w:right w:val="none" w:sz="0" w:space="0" w:color="auto"/>
      </w:divBdr>
    </w:div>
    <w:div w:id="70996374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69854227">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2331066">
      <w:bodyDiv w:val="1"/>
      <w:marLeft w:val="0"/>
      <w:marRight w:val="0"/>
      <w:marTop w:val="0"/>
      <w:marBottom w:val="0"/>
      <w:divBdr>
        <w:top w:val="none" w:sz="0" w:space="0" w:color="auto"/>
        <w:left w:val="none" w:sz="0" w:space="0" w:color="auto"/>
        <w:bottom w:val="none" w:sz="0" w:space="0" w:color="auto"/>
        <w:right w:val="none" w:sz="0" w:space="0" w:color="auto"/>
      </w:divBdr>
    </w:div>
    <w:div w:id="838623327">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65559747">
      <w:bodyDiv w:val="1"/>
      <w:marLeft w:val="0"/>
      <w:marRight w:val="0"/>
      <w:marTop w:val="0"/>
      <w:marBottom w:val="0"/>
      <w:divBdr>
        <w:top w:val="none" w:sz="0" w:space="0" w:color="auto"/>
        <w:left w:val="none" w:sz="0" w:space="0" w:color="auto"/>
        <w:bottom w:val="none" w:sz="0" w:space="0" w:color="auto"/>
        <w:right w:val="none" w:sz="0" w:space="0" w:color="auto"/>
      </w:divBdr>
    </w:div>
    <w:div w:id="866597280">
      <w:bodyDiv w:val="1"/>
      <w:marLeft w:val="0"/>
      <w:marRight w:val="0"/>
      <w:marTop w:val="0"/>
      <w:marBottom w:val="0"/>
      <w:divBdr>
        <w:top w:val="none" w:sz="0" w:space="0" w:color="auto"/>
        <w:left w:val="none" w:sz="0" w:space="0" w:color="auto"/>
        <w:bottom w:val="none" w:sz="0" w:space="0" w:color="auto"/>
        <w:right w:val="none" w:sz="0" w:space="0" w:color="auto"/>
      </w:divBdr>
    </w:div>
    <w:div w:id="89863275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6955519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8345795">
      <w:bodyDiv w:val="1"/>
      <w:marLeft w:val="0"/>
      <w:marRight w:val="0"/>
      <w:marTop w:val="0"/>
      <w:marBottom w:val="0"/>
      <w:divBdr>
        <w:top w:val="none" w:sz="0" w:space="0" w:color="auto"/>
        <w:left w:val="none" w:sz="0" w:space="0" w:color="auto"/>
        <w:bottom w:val="none" w:sz="0" w:space="0" w:color="auto"/>
        <w:right w:val="none" w:sz="0" w:space="0" w:color="auto"/>
      </w:divBdr>
    </w:div>
    <w:div w:id="985401410">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662072">
      <w:bodyDiv w:val="1"/>
      <w:marLeft w:val="0"/>
      <w:marRight w:val="0"/>
      <w:marTop w:val="0"/>
      <w:marBottom w:val="0"/>
      <w:divBdr>
        <w:top w:val="none" w:sz="0" w:space="0" w:color="auto"/>
        <w:left w:val="none" w:sz="0" w:space="0" w:color="auto"/>
        <w:bottom w:val="none" w:sz="0" w:space="0" w:color="auto"/>
        <w:right w:val="none" w:sz="0" w:space="0" w:color="auto"/>
      </w:divBdr>
    </w:div>
    <w:div w:id="1025134814">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8577740">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99108758">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8713325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9460717">
      <w:bodyDiv w:val="1"/>
      <w:marLeft w:val="0"/>
      <w:marRight w:val="0"/>
      <w:marTop w:val="0"/>
      <w:marBottom w:val="0"/>
      <w:divBdr>
        <w:top w:val="none" w:sz="0" w:space="0" w:color="auto"/>
        <w:left w:val="none" w:sz="0" w:space="0" w:color="auto"/>
        <w:bottom w:val="none" w:sz="0" w:space="0" w:color="auto"/>
        <w:right w:val="none" w:sz="0" w:space="0" w:color="auto"/>
      </w:divBdr>
    </w:div>
    <w:div w:id="126033704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523169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71101664">
      <w:bodyDiv w:val="1"/>
      <w:marLeft w:val="0"/>
      <w:marRight w:val="0"/>
      <w:marTop w:val="0"/>
      <w:marBottom w:val="0"/>
      <w:divBdr>
        <w:top w:val="none" w:sz="0" w:space="0" w:color="auto"/>
        <w:left w:val="none" w:sz="0" w:space="0" w:color="auto"/>
        <w:bottom w:val="none" w:sz="0" w:space="0" w:color="auto"/>
        <w:right w:val="none" w:sz="0" w:space="0" w:color="auto"/>
      </w:divBdr>
    </w:div>
    <w:div w:id="1373457528">
      <w:bodyDiv w:val="1"/>
      <w:marLeft w:val="0"/>
      <w:marRight w:val="0"/>
      <w:marTop w:val="0"/>
      <w:marBottom w:val="0"/>
      <w:divBdr>
        <w:top w:val="none" w:sz="0" w:space="0" w:color="auto"/>
        <w:left w:val="none" w:sz="0" w:space="0" w:color="auto"/>
        <w:bottom w:val="none" w:sz="0" w:space="0" w:color="auto"/>
        <w:right w:val="none" w:sz="0" w:space="0" w:color="auto"/>
      </w:divBdr>
    </w:div>
    <w:div w:id="1389305698">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0831565">
      <w:bodyDiv w:val="1"/>
      <w:marLeft w:val="0"/>
      <w:marRight w:val="0"/>
      <w:marTop w:val="0"/>
      <w:marBottom w:val="0"/>
      <w:divBdr>
        <w:top w:val="none" w:sz="0" w:space="0" w:color="auto"/>
        <w:left w:val="none" w:sz="0" w:space="0" w:color="auto"/>
        <w:bottom w:val="none" w:sz="0" w:space="0" w:color="auto"/>
        <w:right w:val="none" w:sz="0" w:space="0" w:color="auto"/>
      </w:divBdr>
    </w:div>
    <w:div w:id="1425108546">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89400223">
      <w:bodyDiv w:val="1"/>
      <w:marLeft w:val="0"/>
      <w:marRight w:val="0"/>
      <w:marTop w:val="0"/>
      <w:marBottom w:val="0"/>
      <w:divBdr>
        <w:top w:val="none" w:sz="0" w:space="0" w:color="auto"/>
        <w:left w:val="none" w:sz="0" w:space="0" w:color="auto"/>
        <w:bottom w:val="none" w:sz="0" w:space="0" w:color="auto"/>
        <w:right w:val="none" w:sz="0" w:space="0" w:color="auto"/>
      </w:divBdr>
    </w:div>
    <w:div w:id="1491942989">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56118435">
      <w:bodyDiv w:val="1"/>
      <w:marLeft w:val="0"/>
      <w:marRight w:val="0"/>
      <w:marTop w:val="0"/>
      <w:marBottom w:val="0"/>
      <w:divBdr>
        <w:top w:val="none" w:sz="0" w:space="0" w:color="auto"/>
        <w:left w:val="none" w:sz="0" w:space="0" w:color="auto"/>
        <w:bottom w:val="none" w:sz="0" w:space="0" w:color="auto"/>
        <w:right w:val="none" w:sz="0" w:space="0" w:color="auto"/>
      </w:divBdr>
    </w:div>
    <w:div w:id="157058149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11062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81618785">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7873051">
      <w:bodyDiv w:val="1"/>
      <w:marLeft w:val="0"/>
      <w:marRight w:val="0"/>
      <w:marTop w:val="0"/>
      <w:marBottom w:val="0"/>
      <w:divBdr>
        <w:top w:val="none" w:sz="0" w:space="0" w:color="auto"/>
        <w:left w:val="none" w:sz="0" w:space="0" w:color="auto"/>
        <w:bottom w:val="none" w:sz="0" w:space="0" w:color="auto"/>
        <w:right w:val="none" w:sz="0" w:space="0" w:color="auto"/>
      </w:divBdr>
    </w:div>
    <w:div w:id="1753307522">
      <w:bodyDiv w:val="1"/>
      <w:marLeft w:val="0"/>
      <w:marRight w:val="0"/>
      <w:marTop w:val="0"/>
      <w:marBottom w:val="0"/>
      <w:divBdr>
        <w:top w:val="none" w:sz="0" w:space="0" w:color="auto"/>
        <w:left w:val="none" w:sz="0" w:space="0" w:color="auto"/>
        <w:bottom w:val="none" w:sz="0" w:space="0" w:color="auto"/>
        <w:right w:val="none" w:sz="0" w:space="0" w:color="auto"/>
      </w:divBdr>
    </w:div>
    <w:div w:id="1759866008">
      <w:bodyDiv w:val="1"/>
      <w:marLeft w:val="0"/>
      <w:marRight w:val="0"/>
      <w:marTop w:val="0"/>
      <w:marBottom w:val="0"/>
      <w:divBdr>
        <w:top w:val="none" w:sz="0" w:space="0" w:color="auto"/>
        <w:left w:val="none" w:sz="0" w:space="0" w:color="auto"/>
        <w:bottom w:val="none" w:sz="0" w:space="0" w:color="auto"/>
        <w:right w:val="none" w:sz="0" w:space="0" w:color="auto"/>
      </w:divBdr>
    </w:div>
    <w:div w:id="1779522188">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1260568">
      <w:bodyDiv w:val="1"/>
      <w:marLeft w:val="0"/>
      <w:marRight w:val="0"/>
      <w:marTop w:val="0"/>
      <w:marBottom w:val="0"/>
      <w:divBdr>
        <w:top w:val="none" w:sz="0" w:space="0" w:color="auto"/>
        <w:left w:val="none" w:sz="0" w:space="0" w:color="auto"/>
        <w:bottom w:val="none" w:sz="0" w:space="0" w:color="auto"/>
        <w:right w:val="none" w:sz="0" w:space="0" w:color="auto"/>
      </w:divBdr>
    </w:div>
    <w:div w:id="1892494164">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8219863">
      <w:bodyDiv w:val="1"/>
      <w:marLeft w:val="0"/>
      <w:marRight w:val="0"/>
      <w:marTop w:val="0"/>
      <w:marBottom w:val="0"/>
      <w:divBdr>
        <w:top w:val="none" w:sz="0" w:space="0" w:color="auto"/>
        <w:left w:val="none" w:sz="0" w:space="0" w:color="auto"/>
        <w:bottom w:val="none" w:sz="0" w:space="0" w:color="auto"/>
        <w:right w:val="none" w:sz="0" w:space="0" w:color="auto"/>
      </w:divBdr>
    </w:div>
    <w:div w:id="1908764469">
      <w:bodyDiv w:val="1"/>
      <w:marLeft w:val="0"/>
      <w:marRight w:val="0"/>
      <w:marTop w:val="0"/>
      <w:marBottom w:val="0"/>
      <w:divBdr>
        <w:top w:val="none" w:sz="0" w:space="0" w:color="auto"/>
        <w:left w:val="none" w:sz="0" w:space="0" w:color="auto"/>
        <w:bottom w:val="none" w:sz="0" w:space="0" w:color="auto"/>
        <w:right w:val="none" w:sz="0" w:space="0" w:color="auto"/>
      </w:divBdr>
    </w:div>
    <w:div w:id="1949920912">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21736165">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136310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7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0643120854706445"/>
          <c:y val="0.9156626506024097"/>
        </c:manualLayout>
      </c:layout>
    </c:title>
    <c:view3D>
      <c:perspective val="0"/>
    </c:view3D>
    <c:plotArea>
      <c:layout>
        <c:manualLayout>
          <c:layoutTarget val="inner"/>
          <c:xMode val="edge"/>
          <c:yMode val="edge"/>
          <c:x val="0.14117667333506617"/>
          <c:y val="0.289157760564764"/>
          <c:w val="0.72353045084221457"/>
          <c:h val="0.39357584076870561"/>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2.5643806972261478E-2"/>
                  <c:y val="-9.6364038832495363E-2"/>
                </c:manualLayout>
              </c:layout>
              <c:dLblPos val="bestFit"/>
              <c:showCatName val="1"/>
              <c:showPercent val="1"/>
            </c:dLbl>
            <c:dLbl>
              <c:idx val="1"/>
              <c:layout>
                <c:manualLayout>
                  <c:x val="3.4301957068644452E-2"/>
                  <c:y val="6.1145790511125869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СВОДНЫЙ'!$A$180:$A$181</c:f>
              <c:strCache>
                <c:ptCount val="2"/>
                <c:pt idx="0">
                  <c:v>продажа</c:v>
                </c:pt>
                <c:pt idx="1">
                  <c:v>аренда</c:v>
                </c:pt>
              </c:strCache>
            </c:strRef>
          </c:cat>
          <c:val>
            <c:numRef>
              <c:f>'Анализ рынка СВОДНЫЙ'!$DS$180:$DS$181</c:f>
              <c:numCache>
                <c:formatCode>#,##0</c:formatCode>
                <c:ptCount val="2"/>
                <c:pt idx="0">
                  <c:v>22</c:v>
                </c:pt>
                <c:pt idx="1">
                  <c:v>19</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317241379310815"/>
          <c:y val="0.76190476190476186"/>
        </c:manualLayout>
      </c:layout>
    </c:title>
    <c:plotArea>
      <c:layout>
        <c:manualLayout>
          <c:layoutTarget val="inner"/>
          <c:xMode val="edge"/>
          <c:yMode val="edge"/>
          <c:x val="7.8660500770736996E-2"/>
          <c:y val="3.702506984965695E-2"/>
          <c:w val="0.84416019549280452"/>
          <c:h val="0.8062585034013605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166021326542141E-2"/>
                  <c:y val="-6.4077990251219491E-2"/>
                </c:manualLayout>
              </c:layout>
              <c:dLblPos val="r"/>
              <c:showVal val="1"/>
            </c:dLbl>
            <c:dLbl>
              <c:idx val="1"/>
              <c:layout>
                <c:manualLayout>
                  <c:x val="-3.830988699634303E-2"/>
                  <c:y val="-5.3401039155819813E-2"/>
                </c:manualLayout>
              </c:layout>
              <c:dLblPos val="r"/>
              <c:showVal val="1"/>
            </c:dLbl>
            <c:dLbl>
              <c:idx val="2"/>
              <c:layout>
                <c:manualLayout>
                  <c:x val="-4.1369493234515532E-2"/>
                  <c:y val="-6.9988575180281079E-2"/>
                </c:manualLayout>
              </c:layout>
              <c:dLblPos val="r"/>
              <c:showVal val="1"/>
            </c:dLbl>
            <c:dLbl>
              <c:idx val="3"/>
              <c:layout>
                <c:manualLayout>
                  <c:x val="-4.0032820447291534E-2"/>
                  <c:y val="-6.7180531588870621E-2"/>
                </c:manualLayout>
              </c:layout>
              <c:dLblPos val="r"/>
              <c:showVal val="1"/>
            </c:dLbl>
            <c:dLbl>
              <c:idx val="4"/>
              <c:layout>
                <c:manualLayout>
                  <c:x val="-4.7901290039417933E-2"/>
                  <c:y val="-5.699278875745907E-2"/>
                </c:manualLayout>
              </c:layout>
              <c:dLblPos val="r"/>
              <c:showVal val="1"/>
            </c:dLbl>
            <c:dLbl>
              <c:idx val="5"/>
              <c:layout>
                <c:manualLayout>
                  <c:x val="-7.2102090686939999E-2"/>
                  <c:y val="-6.4796614708876474E-2"/>
                </c:manualLayout>
              </c:layout>
              <c:dLblPos val="r"/>
              <c:showVal val="1"/>
            </c:dLbl>
            <c:dLbl>
              <c:idx val="6"/>
              <c:layout>
                <c:manualLayout>
                  <c:x val="-5.0268444167251382E-2"/>
                  <c:y val="-4.7300658846216599E-2"/>
                </c:manualLayout>
              </c:layout>
              <c:dLblPos val="r"/>
              <c:showVal val="1"/>
            </c:dLbl>
            <c:dLbl>
              <c:idx val="7"/>
              <c:layout>
                <c:manualLayout>
                  <c:x val="-4.3452959469175274E-2"/>
                  <c:y val="-6.345578231292517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5.8194344786386326E-2"/>
                  <c:y val="3.5025764636563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7.3485978045057326E-2"/>
                  <c:y val="-3.2434517113932612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7.7226264327953334E-2"/>
                  <c:y val="1.5662756441159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9.5818227619627494E-2"/>
                  <c:y val="8.511650329423074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0010856624879655"/>
                  <c:y val="-3.077015373078368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8.8997516695801096E-2"/>
                  <c:y val="4.21443033906475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СВОДНЫЙ'!$CX$60:$DS$60</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СВОДНЫЙ'!$CX$61:$DS$61</c:f>
              <c:numCache>
                <c:formatCode>#,##0</c:formatCode>
                <c:ptCount val="6"/>
                <c:pt idx="0">
                  <c:v>154</c:v>
                </c:pt>
                <c:pt idx="1">
                  <c:v>155</c:v>
                </c:pt>
                <c:pt idx="2">
                  <c:v>169</c:v>
                </c:pt>
                <c:pt idx="3">
                  <c:v>163</c:v>
                </c:pt>
                <c:pt idx="4">
                  <c:v>157</c:v>
                </c:pt>
                <c:pt idx="5">
                  <c:v>148</c:v>
                </c:pt>
              </c:numCache>
            </c:numRef>
          </c:val>
          <c:smooth val="1"/>
        </c:ser>
        <c:dLbls>
          <c:showVal val="1"/>
        </c:dLbls>
        <c:marker val="1"/>
        <c:axId val="113192320"/>
        <c:axId val="113644288"/>
      </c:lineChart>
      <c:catAx>
        <c:axId val="113192320"/>
        <c:scaling>
          <c:orientation val="minMax"/>
        </c:scaling>
        <c:axPos val="b"/>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644288"/>
        <c:crosses val="autoZero"/>
        <c:lblAlgn val="ctr"/>
        <c:lblOffset val="100"/>
        <c:tickLblSkip val="1"/>
        <c:tickMarkSkip val="1"/>
      </c:catAx>
      <c:valAx>
        <c:axId val="113644288"/>
        <c:scaling>
          <c:orientation val="minMax"/>
          <c:max val="35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192320"/>
        <c:crosses val="autoZero"/>
        <c:crossBetween val="midCat"/>
        <c:majorUnit val="6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3313259376650821"/>
          <c:y val="0.74863387978142082"/>
        </c:manualLayout>
      </c:layout>
    </c:title>
    <c:plotArea>
      <c:layout>
        <c:manualLayout>
          <c:layoutTarget val="inner"/>
          <c:xMode val="edge"/>
          <c:yMode val="edge"/>
          <c:x val="7.7126254622292695E-2"/>
          <c:y val="3.179790133244053E-2"/>
          <c:w val="0.8478605388272521"/>
          <c:h val="0.7930876468310313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6.0107066648364673E-3"/>
                  <c:y val="-7.1039111914289382E-2"/>
                </c:manualLayout>
              </c:layout>
              <c:dLblPos val="r"/>
              <c:showVal val="1"/>
            </c:dLbl>
            <c:dLbl>
              <c:idx val="1"/>
              <c:layout>
                <c:manualLayout>
                  <c:x val="-3.0575773008063769E-2"/>
                  <c:y val="-7.6984832647325432E-2"/>
                </c:manualLayout>
              </c:layout>
              <c:dLblPos val="r"/>
              <c:showVal val="1"/>
            </c:dLbl>
            <c:dLbl>
              <c:idx val="2"/>
              <c:layout>
                <c:manualLayout>
                  <c:x val="-4.9619648948689574E-2"/>
                  <c:y val="-7.7797632730601848E-2"/>
                </c:manualLayout>
              </c:layout>
              <c:dLblPos val="r"/>
              <c:showVal val="1"/>
            </c:dLbl>
            <c:dLbl>
              <c:idx val="3"/>
              <c:layout>
                <c:manualLayout>
                  <c:x val="-4.602125225942303E-2"/>
                  <c:y val="-6.8190630679082764E-2"/>
                </c:manualLayout>
              </c:layout>
              <c:dLblPos val="r"/>
              <c:showVal val="1"/>
            </c:dLbl>
            <c:dLbl>
              <c:idx val="4"/>
              <c:layout>
                <c:manualLayout>
                  <c:x val="-4.4052993558506011E-2"/>
                  <c:y val="-6.3961814877624576E-2"/>
                </c:manualLayout>
              </c:layout>
              <c:dLblPos val="r"/>
              <c:showVal val="1"/>
            </c:dLbl>
            <c:dLbl>
              <c:idx val="5"/>
              <c:layout>
                <c:manualLayout>
                  <c:x val="-7.0921879614493505E-2"/>
                  <c:y val="-6.8460049051245933E-2"/>
                </c:manualLayout>
              </c:layout>
              <c:dLblPos val="r"/>
              <c:showVal val="1"/>
            </c:dLbl>
            <c:dLbl>
              <c:idx val="6"/>
              <c:layout>
                <c:manualLayout>
                  <c:x val="-5.2805280528052813E-2"/>
                  <c:y val="-4.9180327868852437E-2"/>
                </c:manualLayout>
              </c:layout>
              <c:dLblPos val="r"/>
              <c:showVal val="1"/>
            </c:dLbl>
            <c:dLbl>
              <c:idx val="7"/>
              <c:layout>
                <c:manualLayout>
                  <c:x val="-1.3201320132013354E-2"/>
                  <c:y val="-6.0109289617486392E-2"/>
                </c:manualLayout>
              </c:layout>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СВОДНЫЙ'!$X$62:$DS$62</c:f>
              <c:numCache>
                <c:formatCode>0%</c:formatCode>
                <c:ptCount val="6"/>
                <c:pt idx="0">
                  <c:v>1.2432207296505824</c:v>
                </c:pt>
                <c:pt idx="1">
                  <c:v>1.2512935915314303</c:v>
                </c:pt>
                <c:pt idx="2">
                  <c:v>1.3643136578633015</c:v>
                </c:pt>
                <c:pt idx="3">
                  <c:v>1.3158764865782138</c:v>
                </c:pt>
                <c:pt idx="4">
                  <c:v>1.2674393152931263</c:v>
                </c:pt>
                <c:pt idx="5">
                  <c:v>1.1947835583654947</c:v>
                </c:pt>
              </c:numCache>
            </c:numRef>
          </c:val>
          <c:smooth val="1"/>
        </c:ser>
        <c:dLbls>
          <c:showVal val="1"/>
        </c:dLbls>
        <c:marker val="1"/>
        <c:axId val="113879680"/>
        <c:axId val="113984640"/>
      </c:lineChart>
      <c:catAx>
        <c:axId val="11387968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984640"/>
        <c:crosses val="autoZero"/>
        <c:lblAlgn val="ctr"/>
        <c:lblOffset val="100"/>
        <c:tickLblSkip val="1"/>
        <c:tickMarkSkip val="1"/>
      </c:catAx>
      <c:valAx>
        <c:axId val="113984640"/>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879680"/>
        <c:crosses val="autoZero"/>
        <c:crossBetween val="midCat"/>
        <c:majorUnit val="0.5"/>
        <c:minorUnit val="0.1500000000000002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94"/>
        </c:manualLayout>
      </c:layout>
    </c:title>
    <c:view3D>
      <c:perspective val="0"/>
    </c:view3D>
    <c:plotArea>
      <c:layout>
        <c:manualLayout>
          <c:layoutTarget val="inner"/>
          <c:xMode val="edge"/>
          <c:yMode val="edge"/>
          <c:x val="0.16918453960615837"/>
          <c:y val="0.35317597181909244"/>
          <c:w val="0.67069585343872062"/>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68E-2"/>
                </c:manualLayout>
              </c:layout>
              <c:dLblPos val="bestFit"/>
              <c:showCatName val="1"/>
              <c:showPercent val="1"/>
            </c:dLbl>
            <c:dLbl>
              <c:idx val="1"/>
              <c:layout>
                <c:manualLayout>
                  <c:x val="2.223509251426250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СВОДНЫЙ'!$DS$126:$DS$128</c:f>
              <c:numCache>
                <c:formatCode>#,##0</c:formatCode>
                <c:ptCount val="3"/>
                <c:pt idx="0">
                  <c:v>53</c:v>
                </c:pt>
                <c:pt idx="1">
                  <c:v>58</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96591950708095"/>
          <c:y val="0.67759562841530663"/>
        </c:manualLayout>
      </c:layout>
    </c:title>
    <c:plotArea>
      <c:layout>
        <c:manualLayout>
          <c:layoutTarget val="inner"/>
          <c:xMode val="edge"/>
          <c:yMode val="edge"/>
          <c:x val="0.11493094027641856"/>
          <c:y val="4.2295368816602862E-2"/>
          <c:w val="0.83482488028009005"/>
          <c:h val="0.757206660642829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157296990346927E-2"/>
                  <c:y val="2.1857923497267812E-2"/>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ГОДОВОЙ'!$B$18:$L$18</c:f>
              <c:numCache>
                <c:formatCode>#,##0</c:formatCode>
                <c:ptCount val="11"/>
                <c:pt idx="0">
                  <c:v>14833.41933333333</c:v>
                </c:pt>
                <c:pt idx="1">
                  <c:v>11314.58333333333</c:v>
                </c:pt>
                <c:pt idx="2">
                  <c:v>12197.83333333333</c:v>
                </c:pt>
                <c:pt idx="3">
                  <c:v>14416.25</c:v>
                </c:pt>
                <c:pt idx="4">
                  <c:v>16347.25</c:v>
                </c:pt>
                <c:pt idx="5">
                  <c:v>16572.166666666661</c:v>
                </c:pt>
                <c:pt idx="6">
                  <c:v>17264.375958333319</c:v>
                </c:pt>
                <c:pt idx="7">
                  <c:v>16702.285714285721</c:v>
                </c:pt>
                <c:pt idx="8">
                  <c:v>14427</c:v>
                </c:pt>
                <c:pt idx="9">
                  <c:v>18121.625</c:v>
                </c:pt>
                <c:pt idx="10">
                  <c:v>17483.166666666661</c:v>
                </c:pt>
              </c:numCache>
            </c:numRef>
          </c:val>
          <c:smooth val="1"/>
        </c:ser>
        <c:dLbls>
          <c:showVal val="1"/>
        </c:dLbls>
        <c:marker val="1"/>
        <c:axId val="108307968"/>
        <c:axId val="108309504"/>
      </c:lineChart>
      <c:catAx>
        <c:axId val="108307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8309504"/>
        <c:crosses val="autoZero"/>
        <c:lblAlgn val="ctr"/>
        <c:lblOffset val="100"/>
        <c:tickLblSkip val="1"/>
        <c:tickMarkSkip val="1"/>
      </c:catAx>
      <c:valAx>
        <c:axId val="108309504"/>
        <c:scaling>
          <c:orientation val="minMax"/>
          <c:max val="30000"/>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8307968"/>
        <c:crosses val="autoZero"/>
        <c:crossBetween val="midCat"/>
        <c:majorUnit val="800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543962217993403"/>
          <c:y val="0.68840579710144922"/>
        </c:manualLayout>
      </c:layout>
    </c:title>
    <c:plotArea>
      <c:layout>
        <c:manualLayout>
          <c:layoutTarget val="inner"/>
          <c:xMode val="edge"/>
          <c:yMode val="edge"/>
          <c:x val="9.6026006227894728E-2"/>
          <c:y val="4.1666666666666664E-2"/>
          <c:w val="0.85738105011755061"/>
          <c:h val="0.7607366198790368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19E-2"/>
                  <c:y val="2.1739130434782612E-2"/>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ГОДОВОЙ'!$B$19:$L$19</c:f>
              <c:numCache>
                <c:formatCode>0%</c:formatCode>
                <c:ptCount val="11"/>
                <c:pt idx="0">
                  <c:v>1</c:v>
                </c:pt>
                <c:pt idx="1">
                  <c:v>0.76277647648694569</c:v>
                </c:pt>
                <c:pt idx="2">
                  <c:v>0.82232107508230634</c:v>
                </c:pt>
                <c:pt idx="3">
                  <c:v>0.97187638777285268</c:v>
                </c:pt>
                <c:pt idx="4">
                  <c:v>1.1020554083079701</c:v>
                </c:pt>
                <c:pt idx="5">
                  <c:v>1.1172182417459244</c:v>
                </c:pt>
                <c:pt idx="6">
                  <c:v>1.1638837661345693</c:v>
                </c:pt>
                <c:pt idx="7">
                  <c:v>1.1259902615139252</c:v>
                </c:pt>
                <c:pt idx="8">
                  <c:v>0.97260110267225863</c:v>
                </c:pt>
                <c:pt idx="9">
                  <c:v>1.2216755012970937</c:v>
                </c:pt>
                <c:pt idx="10">
                  <c:v>1.1786336160118442</c:v>
                </c:pt>
              </c:numCache>
            </c:numRef>
          </c:val>
          <c:smooth val="1"/>
        </c:ser>
        <c:dLbls>
          <c:showVal val="1"/>
        </c:dLbls>
        <c:marker val="1"/>
        <c:axId val="108935808"/>
        <c:axId val="108953984"/>
      </c:lineChart>
      <c:catAx>
        <c:axId val="108935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8953984"/>
        <c:crosses val="autoZero"/>
        <c:lblAlgn val="ctr"/>
        <c:lblOffset val="100"/>
        <c:tickLblSkip val="1"/>
        <c:tickMarkSkip val="1"/>
      </c:catAx>
      <c:valAx>
        <c:axId val="108953984"/>
        <c:scaling>
          <c:orientation val="minMax"/>
          <c:max val="1.6"/>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8935808"/>
        <c:crosses val="autoZero"/>
        <c:crossBetween val="midCat"/>
        <c:majorUnit val="0.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961066666666665"/>
          <c:y val="0.7531380753138126"/>
        </c:manualLayout>
      </c:layout>
    </c:title>
    <c:plotArea>
      <c:layout>
        <c:manualLayout>
          <c:layoutTarget val="inner"/>
          <c:xMode val="edge"/>
          <c:yMode val="edge"/>
          <c:x val="0.10478916535433071"/>
          <c:y val="4.1841004184100396E-2"/>
          <c:w val="0.82920886089238843"/>
          <c:h val="0.7977684797768475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226868992369343E-2"/>
                  <c:y val="-4.7841509351080072E-2"/>
                </c:manualLayout>
              </c:layout>
              <c:dLblPos val="r"/>
              <c:showVal val="1"/>
            </c:dLbl>
            <c:dLbl>
              <c:idx val="1"/>
              <c:layout>
                <c:manualLayout>
                  <c:x val="-5.9176270184769952E-2"/>
                  <c:y val="-6.5268452322120821E-2"/>
                </c:manualLayout>
              </c:layout>
              <c:dLblPos val="r"/>
              <c:showVal val="1"/>
            </c:dLbl>
            <c:dLbl>
              <c:idx val="2"/>
              <c:layout>
                <c:manualLayout>
                  <c:x val="-5.8734726265095814E-2"/>
                  <c:y val="-5.3288633034449133E-2"/>
                </c:manualLayout>
              </c:layout>
              <c:dLblPos val="r"/>
              <c:showVal val="1"/>
            </c:dLbl>
            <c:dLbl>
              <c:idx val="3"/>
              <c:layout>
                <c:manualLayout>
                  <c:x val="-5.3878430759069021E-2"/>
                  <c:y val="-5.3518707651083422E-2"/>
                </c:manualLayout>
              </c:layout>
              <c:dLblPos val="r"/>
              <c:showVal val="1"/>
            </c:dLbl>
            <c:dLbl>
              <c:idx val="4"/>
              <c:layout>
                <c:manualLayout>
                  <c:x val="-6.9993047226712984E-2"/>
                  <c:y val="-6.2415796351816828E-2"/>
                </c:manualLayout>
              </c:layout>
              <c:dLblPos val="r"/>
              <c:showVal val="1"/>
            </c:dLbl>
            <c:dLbl>
              <c:idx val="5"/>
              <c:layout>
                <c:manualLayout>
                  <c:x val="-8.629786876640512E-2"/>
                  <c:y val="-5.5201572606771387E-2"/>
                </c:manualLayout>
              </c:layout>
              <c:dLblPos val="r"/>
              <c:showVal val="1"/>
            </c:dLbl>
            <c:dLbl>
              <c:idx val="6"/>
              <c:layout>
                <c:manualLayout>
                  <c:x val="-6.1564721628339522E-2"/>
                  <c:y val="-5.2582611274009809E-2"/>
                </c:manualLayout>
              </c:layout>
              <c:dLblPos val="r"/>
              <c:showVal val="1"/>
            </c:dLbl>
            <c:dLbl>
              <c:idx val="7"/>
              <c:layout>
                <c:manualLayout>
                  <c:x val="-1.2134327579913437E-3"/>
                  <c:y val="-6.149814955138975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7306777317761043"/>
                  <c:y val="-0.1183913726265398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293525324798842"/>
                  <c:y val="-6.813999714470893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260425573279611"/>
                  <c:y val="-0.10504705740234348"/>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723997315392304"/>
                  <c:y val="-0.128823729669772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11630733816178"/>
                  <c:y val="-0.1385532456978444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106539716008302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СВОДНЫЙ'!$Y$26:$DS$26</c:f>
              <c:numCache>
                <c:formatCode>#,##0</c:formatCode>
                <c:ptCount val="6"/>
                <c:pt idx="0">
                  <c:v>18612</c:v>
                </c:pt>
                <c:pt idx="1">
                  <c:v>16217</c:v>
                </c:pt>
                <c:pt idx="2">
                  <c:v>14879</c:v>
                </c:pt>
                <c:pt idx="3">
                  <c:v>15866</c:v>
                </c:pt>
                <c:pt idx="4">
                  <c:v>16852</c:v>
                </c:pt>
                <c:pt idx="5">
                  <c:v>16034</c:v>
                </c:pt>
              </c:numCache>
            </c:numRef>
          </c:val>
          <c:smooth val="1"/>
        </c:ser>
        <c:dLbls>
          <c:showVal val="1"/>
        </c:dLbls>
        <c:marker val="1"/>
        <c:axId val="113306240"/>
        <c:axId val="113557504"/>
      </c:lineChart>
      <c:catAx>
        <c:axId val="11330624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557504"/>
        <c:crosses val="autoZero"/>
        <c:lblAlgn val="ctr"/>
        <c:lblOffset val="100"/>
        <c:tickLblSkip val="1"/>
        <c:tickMarkSkip val="1"/>
      </c:catAx>
      <c:valAx>
        <c:axId val="113557504"/>
        <c:scaling>
          <c:orientation val="minMax"/>
          <c:max val="35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306240"/>
        <c:crosses val="autoZero"/>
        <c:crossBetween val="midCat"/>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1573939924176144"/>
        </c:manualLayout>
      </c:layout>
    </c:title>
    <c:plotArea>
      <c:layout>
        <c:manualLayout>
          <c:layoutTarget val="inner"/>
          <c:xMode val="edge"/>
          <c:yMode val="edge"/>
          <c:x val="8.5494147354803568E-2"/>
          <c:y val="3.7190082644628114E-2"/>
          <c:w val="0.85816571506760708"/>
          <c:h val="0.7747508894721496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5931096445358575E-2"/>
                  <c:y val="-6.0088457428698824E-2"/>
                </c:manualLayout>
              </c:layout>
              <c:dLblPos val="r"/>
              <c:showVal val="1"/>
            </c:dLbl>
            <c:dLbl>
              <c:idx val="1"/>
              <c:layout>
                <c:manualLayout>
                  <c:x val="-4.5207556292305565E-2"/>
                  <c:y val="-5.9026485325697924E-2"/>
                </c:manualLayout>
              </c:layout>
              <c:dLblPos val="r"/>
              <c:showVal val="1"/>
            </c:dLbl>
            <c:dLbl>
              <c:idx val="2"/>
              <c:layout>
                <c:manualLayout>
                  <c:x val="-4.9812646774417074E-2"/>
                  <c:y val="-7.2169367258844833E-2"/>
                </c:manualLayout>
              </c:layout>
              <c:dLblPos val="r"/>
              <c:showVal val="1"/>
            </c:dLbl>
            <c:dLbl>
              <c:idx val="3"/>
              <c:layout>
                <c:manualLayout>
                  <c:x val="-4.9483872081779262E-2"/>
                  <c:y val="-6.2335741090214974E-2"/>
                </c:manualLayout>
              </c:layout>
              <c:dLblPos val="r"/>
              <c:showVal val="1"/>
            </c:dLbl>
            <c:dLbl>
              <c:idx val="4"/>
              <c:layout>
                <c:manualLayout>
                  <c:x val="-5.0251243265644376E-2"/>
                  <c:y val="-6.7197674670832194E-2"/>
                </c:manualLayout>
              </c:layout>
              <c:dLblPos val="r"/>
              <c:showVal val="1"/>
            </c:dLbl>
            <c:dLbl>
              <c:idx val="5"/>
              <c:layout>
                <c:manualLayout>
                  <c:x val="-4.8842036192844412E-2"/>
                  <c:y val="-5.3843517494197517E-2"/>
                </c:manualLayout>
              </c:layout>
              <c:dLblPos val="r"/>
              <c:showVal val="1"/>
            </c:dLbl>
            <c:dLbl>
              <c:idx val="6"/>
              <c:layout>
                <c:manualLayout>
                  <c:x val="-6.226360685177601E-2"/>
                  <c:y val="-5.8009153814450876E-2"/>
                </c:manualLayout>
              </c:layout>
              <c:dLblPos val="r"/>
              <c:showVal val="1"/>
            </c:dLbl>
            <c:dLbl>
              <c:idx val="7"/>
              <c:layout>
                <c:manualLayout>
                  <c:x val="-2.4759807984528252E-2"/>
                  <c:y val="-5.836749745124957E-2"/>
                </c:manualLayout>
              </c:layout>
              <c:dLblPos val="r"/>
              <c:showVal val="1"/>
            </c:dLbl>
            <c:dLbl>
              <c:idx val="8"/>
              <c:layout>
                <c:manualLayout>
                  <c:x val="-6.3564373532255844E-2"/>
                  <c:y val="0.19813583219452943"/>
                </c:manualLayout>
              </c:layout>
              <c:dLblPos val="r"/>
              <c:showVal val="1"/>
            </c:dLbl>
            <c:dLbl>
              <c:idx val="9"/>
              <c:layout>
                <c:manualLayout>
                  <c:x val="-6.6733146843486912E-2"/>
                  <c:y val="0.29323919220841199"/>
                </c:manualLayout>
              </c:layout>
              <c:dLblPos val="r"/>
              <c:showVal val="1"/>
            </c:dLbl>
            <c:dLbl>
              <c:idx val="10"/>
              <c:layout>
                <c:manualLayout>
                  <c:x val="-7.3191393838928948E-2"/>
                  <c:y val="0.30035964512700764"/>
                </c:manualLayout>
              </c:layout>
              <c:dLblPos val="r"/>
              <c:showVal val="1"/>
            </c:dLbl>
            <c:dLbl>
              <c:idx val="11"/>
              <c:layout>
                <c:manualLayout>
                  <c:x val="-8.7873325044895742E-2"/>
                  <c:y val="0.17443526170799126"/>
                </c:manualLayout>
              </c:layout>
              <c:dLblPos val="r"/>
              <c:showVal val="1"/>
            </c:dLbl>
            <c:dLbl>
              <c:idx val="12"/>
              <c:layout>
                <c:manualLayout>
                  <c:x val="-9.3235080812267043E-2"/>
                  <c:y val="0.13118066853213597"/>
                </c:manualLayout>
              </c:layout>
              <c:dLblPos val="r"/>
              <c:showVal val="1"/>
            </c:dLbl>
            <c:dLbl>
              <c:idx val="13"/>
              <c:layout>
                <c:manualLayout>
                  <c:x val="-8.4890523552978159E-2"/>
                  <c:y val="8.998763584304032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СВОДНЫЙ'!$Y$27:$DS$27</c:f>
              <c:numCache>
                <c:formatCode>0%</c:formatCode>
                <c:ptCount val="6"/>
                <c:pt idx="0">
                  <c:v>1.2547342983944048</c:v>
                </c:pt>
                <c:pt idx="1">
                  <c:v>1.0932745603407512</c:v>
                </c:pt>
                <c:pt idx="2">
                  <c:v>1.00307283611704</c:v>
                </c:pt>
                <c:pt idx="3">
                  <c:v>1.0696117761834101</c:v>
                </c:pt>
                <c:pt idx="4">
                  <c:v>1.1360833009103004</c:v>
                </c:pt>
                <c:pt idx="5">
                  <c:v>1.0809375532159835</c:v>
                </c:pt>
              </c:numCache>
            </c:numRef>
          </c:val>
          <c:smooth val="1"/>
        </c:ser>
        <c:dLbls>
          <c:showVal val="1"/>
        </c:dLbls>
        <c:marker val="1"/>
        <c:axId val="113527040"/>
        <c:axId val="113559808"/>
      </c:lineChart>
      <c:catAx>
        <c:axId val="11352704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559808"/>
        <c:crosses val="autoZero"/>
        <c:lblAlgn val="ctr"/>
        <c:lblOffset val="100"/>
        <c:tickLblSkip val="1"/>
        <c:tickMarkSkip val="1"/>
      </c:catAx>
      <c:valAx>
        <c:axId val="113559808"/>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527040"/>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55"/>
          <c:w val="0.67272926352174411"/>
          <c:h val="0.3520006875013455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39E-2"/>
                  <c:y val="-7.9008083989501932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СВОДНЫЙ'!$DS$139:$DS$141</c:f>
              <c:numCache>
                <c:formatCode>#,##0</c:formatCode>
                <c:ptCount val="3"/>
                <c:pt idx="0">
                  <c:v>38</c:v>
                </c:pt>
                <c:pt idx="1">
                  <c:v>50</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308045977011899"/>
          <c:y val="0.70103130721179063"/>
        </c:manualLayout>
      </c:layout>
    </c:title>
    <c:plotArea>
      <c:layout>
        <c:manualLayout>
          <c:layoutTarget val="inner"/>
          <c:xMode val="edge"/>
          <c:yMode val="edge"/>
          <c:x val="8.4364014842972221E-2"/>
          <c:y val="3.9518921730076428E-2"/>
          <c:w val="0.86159000814553754"/>
          <c:h val="0.7782243029598249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7586206896551741E-2"/>
                  <c:y val="0"/>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ГОДОВОЙ'!$B$44:$L$44</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ГОДОВОЙ'!$B$45:$L$45</c:f>
              <c:numCache>
                <c:formatCode>#,##0</c:formatCode>
                <c:ptCount val="11"/>
                <c:pt idx="0">
                  <c:v>123.87180838215507</c:v>
                </c:pt>
                <c:pt idx="1">
                  <c:v>140</c:v>
                </c:pt>
                <c:pt idx="2">
                  <c:v>145.8333333333334</c:v>
                </c:pt>
                <c:pt idx="3">
                  <c:v>152.4166666666666</c:v>
                </c:pt>
                <c:pt idx="4">
                  <c:v>161.1666666666666</c:v>
                </c:pt>
                <c:pt idx="5">
                  <c:v>155.75</c:v>
                </c:pt>
                <c:pt idx="6">
                  <c:v>164.40230000000005</c:v>
                </c:pt>
                <c:pt idx="7">
                  <c:v>161</c:v>
                </c:pt>
                <c:pt idx="8">
                  <c:v>146</c:v>
                </c:pt>
                <c:pt idx="9">
                  <c:v>161.125</c:v>
                </c:pt>
                <c:pt idx="10">
                  <c:v>161</c:v>
                </c:pt>
              </c:numCache>
            </c:numRef>
          </c:val>
          <c:smooth val="1"/>
        </c:ser>
        <c:dLbls>
          <c:showVal val="1"/>
        </c:dLbls>
        <c:marker val="1"/>
        <c:axId val="109175552"/>
        <c:axId val="109177088"/>
      </c:lineChart>
      <c:catAx>
        <c:axId val="109175552"/>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9177088"/>
        <c:crosses val="autoZero"/>
        <c:lblAlgn val="ctr"/>
        <c:lblOffset val="100"/>
        <c:tickLblSkip val="1"/>
        <c:tickMarkSkip val="1"/>
      </c:catAx>
      <c:valAx>
        <c:axId val="109177088"/>
        <c:scaling>
          <c:orientation val="minMax"/>
          <c:max val="260"/>
          <c:min val="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9175552"/>
        <c:crosses val="autoZero"/>
        <c:crossBetween val="midCat"/>
        <c:majorUnit val="6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6754349842561711"/>
          <c:y val="0.66666666666666663"/>
        </c:manualLayout>
      </c:layout>
    </c:title>
    <c:plotArea>
      <c:layout>
        <c:manualLayout>
          <c:layoutTarget val="inner"/>
          <c:xMode val="edge"/>
          <c:yMode val="edge"/>
          <c:x val="9.6330367578854728E-2"/>
          <c:y val="4.4673539518900393E-2"/>
          <c:w val="0.85692900907196423"/>
          <c:h val="0.73870552263442191"/>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808769149498132E-2"/>
                  <c:y val="3.1500208844586579E-17"/>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ГОДОВОЙ'!$B$46:$L$46</c:f>
              <c:numCache>
                <c:formatCode>0%</c:formatCode>
                <c:ptCount val="11"/>
                <c:pt idx="0">
                  <c:v>1</c:v>
                </c:pt>
                <c:pt idx="1">
                  <c:v>1.1302006633187121</c:v>
                </c:pt>
                <c:pt idx="2">
                  <c:v>1.1772923576236576</c:v>
                </c:pt>
                <c:pt idx="3">
                  <c:v>1.2304386983392392</c:v>
                </c:pt>
                <c:pt idx="4">
                  <c:v>1.3010762397966591</c:v>
                </c:pt>
                <c:pt idx="5">
                  <c:v>1.2573482379420657</c:v>
                </c:pt>
                <c:pt idx="6">
                  <c:v>1.3271970607937273</c:v>
                </c:pt>
                <c:pt idx="7">
                  <c:v>1.299730762816518</c:v>
                </c:pt>
                <c:pt idx="8">
                  <c:v>1.1786378346037998</c:v>
                </c:pt>
                <c:pt idx="9">
                  <c:v>1.300739870551624</c:v>
                </c:pt>
                <c:pt idx="10">
                  <c:v>1.299730762816518</c:v>
                </c:pt>
              </c:numCache>
            </c:numRef>
          </c:val>
          <c:smooth val="1"/>
        </c:ser>
        <c:dLbls>
          <c:showVal val="1"/>
        </c:dLbls>
        <c:marker val="1"/>
        <c:axId val="109066112"/>
        <c:axId val="109067648"/>
      </c:lineChart>
      <c:catAx>
        <c:axId val="109066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9067648"/>
        <c:crosses val="autoZero"/>
        <c:lblAlgn val="ctr"/>
        <c:lblOffset val="100"/>
        <c:tickLblSkip val="1"/>
        <c:tickMarkSkip val="1"/>
      </c:catAx>
      <c:valAx>
        <c:axId val="109067648"/>
        <c:scaling>
          <c:orientation val="minMax"/>
          <c:max val="2"/>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9066112"/>
        <c:crosses val="autoZero"/>
        <c:crossBetween val="midCat"/>
        <c:majorUnit val="0.4"/>
        <c:minorUnit val="0.1500000000000002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9162</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2</cp:revision>
  <cp:lastPrinted>2017-03-10T10:55:00Z</cp:lastPrinted>
  <dcterms:created xsi:type="dcterms:W3CDTF">2020-02-08T08:46:00Z</dcterms:created>
  <dcterms:modified xsi:type="dcterms:W3CDTF">2020-02-08T08:46:00Z</dcterms:modified>
</cp:coreProperties>
</file>