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A72FCC" w:rsidRPr="006E5F68" w:rsidTr="001F1FBF">
        <w:tc>
          <w:tcPr>
            <w:tcW w:w="10440" w:type="dxa"/>
            <w:tcBorders>
              <w:top w:val="nil"/>
              <w:bottom w:val="single" w:sz="8" w:space="0" w:color="auto"/>
            </w:tcBorders>
          </w:tcPr>
          <w:p w:rsidR="00A72FCC" w:rsidRPr="006E5F68" w:rsidRDefault="00A72FCC" w:rsidP="001F1FBF">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A72FCC" w:rsidRPr="006E5F68" w:rsidRDefault="00A72FCC" w:rsidP="001F1FBF">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A72FCC" w:rsidRPr="006E5F68" w:rsidRDefault="00A72FCC" w:rsidP="001F1FBF">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A72FCC" w:rsidRPr="006E5F68" w:rsidTr="001F1FBF">
        <w:tc>
          <w:tcPr>
            <w:tcW w:w="10440" w:type="dxa"/>
            <w:tcBorders>
              <w:top w:val="single" w:sz="8" w:space="0" w:color="auto"/>
              <w:bottom w:val="thinThickSmallGap" w:sz="12" w:space="0" w:color="auto"/>
            </w:tcBorders>
          </w:tcPr>
          <w:p w:rsidR="00A72FCC" w:rsidRPr="0010756F" w:rsidRDefault="00A72FCC" w:rsidP="001F1FBF">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A72FCC" w:rsidRPr="006E5F68" w:rsidRDefault="00A72FCC" w:rsidP="001F1FBF">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D74008" w:rsidRPr="001241F1" w:rsidRDefault="00D74008" w:rsidP="001241F1">
      <w:pPr>
        <w:jc w:val="center"/>
      </w:pPr>
    </w:p>
    <w:p w:rsidR="00D74008" w:rsidRPr="00AC038D" w:rsidRDefault="00D74008" w:rsidP="001241F1">
      <w:pPr>
        <w:jc w:val="center"/>
        <w:outlineLvl w:val="1"/>
        <w:rPr>
          <w:b/>
          <w:color w:val="FF0000"/>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торговой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E718BA">
        <w:rPr>
          <w:b/>
          <w:sz w:val="28"/>
          <w:szCs w:val="28"/>
        </w:rPr>
        <w:t xml:space="preserve">в период с 01 января </w:t>
      </w:r>
      <w:r w:rsidR="00D109E1">
        <w:rPr>
          <w:b/>
          <w:sz w:val="28"/>
          <w:szCs w:val="28"/>
        </w:rPr>
        <w:t>2009 по 31</w:t>
      </w:r>
      <w:r w:rsidR="009A518F">
        <w:rPr>
          <w:b/>
          <w:sz w:val="28"/>
          <w:szCs w:val="28"/>
        </w:rPr>
        <w:t xml:space="preserve"> </w:t>
      </w:r>
      <w:r w:rsidR="00D109E1">
        <w:rPr>
          <w:b/>
          <w:sz w:val="28"/>
          <w:szCs w:val="28"/>
        </w:rPr>
        <w:t>марта</w:t>
      </w:r>
      <w:r w:rsidR="00E206C4">
        <w:rPr>
          <w:b/>
          <w:sz w:val="28"/>
          <w:szCs w:val="28"/>
        </w:rPr>
        <w:t xml:space="preserve"> 2020</w:t>
      </w:r>
      <w:r w:rsidRPr="00922DAD">
        <w:rPr>
          <w:b/>
          <w:sz w:val="28"/>
          <w:szCs w:val="28"/>
        </w:rPr>
        <w:t xml:space="preserve"> г.</w:t>
      </w:r>
      <w:bookmarkEnd w:id="0"/>
      <w:r w:rsidRPr="00922DAD">
        <w:rPr>
          <w:b/>
          <w:sz w:val="28"/>
          <w:szCs w:val="28"/>
        </w:rPr>
        <w:t>)</w:t>
      </w:r>
      <w:r w:rsidRPr="00922DAD">
        <w:rPr>
          <w:rStyle w:val="a6"/>
          <w:b/>
          <w:sz w:val="28"/>
          <w:szCs w:val="28"/>
        </w:rPr>
        <w:footnoteReference w:customMarkFollows="1" w:id="1"/>
        <w:t>*</w:t>
      </w:r>
    </w:p>
    <w:p w:rsidR="00D74008" w:rsidRPr="00AC038D" w:rsidRDefault="00D74008" w:rsidP="001241F1">
      <w:pPr>
        <w:jc w:val="center"/>
        <w:outlineLvl w:val="1"/>
        <w:rPr>
          <w:color w:val="FF0000"/>
        </w:rPr>
      </w:pPr>
    </w:p>
    <w:p w:rsidR="00D74008" w:rsidRDefault="00D74008" w:rsidP="00D74008">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D74008" w:rsidRPr="00221A08" w:rsidRDefault="00D74008" w:rsidP="00D7400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D74008" w:rsidRPr="00221A08" w:rsidRDefault="00D74008" w:rsidP="00D7400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D74008" w:rsidRPr="00221A08" w:rsidRDefault="00D74008" w:rsidP="00D74008">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D74008" w:rsidRPr="00221A08" w:rsidRDefault="00D74008" w:rsidP="00D74008">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022AC9">
        <w:t>, юридическая «чистота» объекта;</w:t>
      </w:r>
      <w:proofErr w:type="gramEnd"/>
    </w:p>
    <w:p w:rsidR="00D74008" w:rsidRPr="00221A08" w:rsidRDefault="00D74008" w:rsidP="00D7400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022AC9">
        <w:t>мпатии, осведомленность и т.д.).</w:t>
      </w:r>
    </w:p>
    <w:p w:rsidR="00D74008" w:rsidRPr="0012069D" w:rsidRDefault="00D74008" w:rsidP="00D74008">
      <w:pPr>
        <w:ind w:firstLine="709"/>
        <w:jc w:val="both"/>
      </w:pPr>
      <w:proofErr w:type="gramStart"/>
      <w:r w:rsidRPr="0012069D">
        <w:t>Коммерческая недвижимость по функциональному назначению может быть классифицирована на торговую, офисную и производственно-складскую</w:t>
      </w:r>
      <w:r w:rsidR="00B56402" w:rsidRPr="0012069D">
        <w:t xml:space="preserve"> </w:t>
      </w:r>
      <w:r w:rsidR="00B56402" w:rsidRPr="0012069D">
        <w:rPr>
          <w:color w:val="000000"/>
        </w:rPr>
        <w:t>(в соответствии с общепринятой классификацией профессиональных операторов рынка недвижимости)</w:t>
      </w:r>
      <w:r w:rsidRPr="0012069D">
        <w:t>.</w:t>
      </w:r>
      <w:proofErr w:type="gramEnd"/>
    </w:p>
    <w:p w:rsidR="00386D19" w:rsidRPr="0012069D" w:rsidRDefault="00386D19" w:rsidP="00386D19">
      <w:pPr>
        <w:ind w:firstLine="709"/>
        <w:jc w:val="both"/>
      </w:pPr>
      <w:r w:rsidRPr="0012069D">
        <w:t>В стоимость 1 кв</w:t>
      </w:r>
      <w:proofErr w:type="gramStart"/>
      <w:r w:rsidRPr="0012069D">
        <w:t>.м</w:t>
      </w:r>
      <w:proofErr w:type="gramEnd"/>
      <w:r w:rsidRPr="0012069D">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B56402" w:rsidRDefault="00B56402" w:rsidP="00386D19">
      <w:pPr>
        <w:ind w:firstLine="709"/>
        <w:jc w:val="both"/>
      </w:pPr>
      <w:r w:rsidRPr="0012069D">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12069D">
        <w:t>.м</w:t>
      </w:r>
      <w:proofErr w:type="gramEnd"/>
      <w:r w:rsidRPr="0012069D">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12069D">
        <w:t>коррелирует</w:t>
      </w:r>
      <w:proofErr w:type="spellEnd"/>
      <w:r w:rsidRPr="0012069D">
        <w:t xml:space="preserve"> с данными ставропольских </w:t>
      </w:r>
      <w:proofErr w:type="spellStart"/>
      <w:r w:rsidRPr="0012069D">
        <w:t>риэлтеров</w:t>
      </w:r>
      <w:proofErr w:type="spellEnd"/>
      <w:r w:rsidRPr="0012069D">
        <w:t>.</w:t>
      </w:r>
      <w:r w:rsidRPr="0012069D">
        <w:rPr>
          <w:rStyle w:val="a6"/>
        </w:rPr>
        <w:footnoteReference w:customMarkFollows="1" w:id="2"/>
        <w:t>**</w:t>
      </w:r>
    </w:p>
    <w:p w:rsidR="005B2375" w:rsidRDefault="005B2375" w:rsidP="005B2375">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r w:rsidRPr="00E62700">
        <w:t>Ботаника,</w:t>
      </w:r>
      <w:r>
        <w:t xml:space="preserve"> Осетинка</w:t>
      </w:r>
      <w:r w:rsidR="005D7596">
        <w:t>, Бараки и верх Серова</w:t>
      </w:r>
      <w:r>
        <w:t>),</w:t>
      </w:r>
      <w:r w:rsidRPr="00E62700">
        <w:t xml:space="preserve"> </w:t>
      </w:r>
      <w:proofErr w:type="spellStart"/>
      <w:r w:rsidRPr="00E62700">
        <w:t>Юго-Запад</w:t>
      </w:r>
      <w:proofErr w:type="spellEnd"/>
      <w:r w:rsidR="005D7596">
        <w:t xml:space="preserve"> (</w:t>
      </w:r>
      <w:proofErr w:type="spellStart"/>
      <w:r w:rsidR="005D7596">
        <w:t>вкл</w:t>
      </w:r>
      <w:proofErr w:type="spellEnd"/>
      <w:r w:rsidR="005D7596">
        <w:t xml:space="preserve">. </w:t>
      </w:r>
      <w:proofErr w:type="gramStart"/>
      <w:r w:rsidR="005D7596">
        <w:t>Перспективный, Южный обход, Западный обход)</w:t>
      </w:r>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3052B8" w:rsidRDefault="003052B8" w:rsidP="001241F1">
      <w:pPr>
        <w:ind w:firstLine="709"/>
        <w:jc w:val="both"/>
      </w:pPr>
      <w:r>
        <w:t xml:space="preserve">Предполагается, что выявленные </w:t>
      </w:r>
      <w:proofErr w:type="gramStart"/>
      <w:r>
        <w:t>предложения</w:t>
      </w:r>
      <w:proofErr w:type="gramEnd"/>
      <w:r>
        <w:t xml:space="preserve"> как продаж</w:t>
      </w:r>
      <w:r w:rsidR="00D47561">
        <w:t>и, так и аренды включают НДС (20</w:t>
      </w:r>
      <w:r>
        <w:t xml:space="preserve">%). </w:t>
      </w:r>
      <w:r w:rsidR="00BF5C03">
        <w:t xml:space="preserve">Анализ сложившейся деловой практики показывает, что арендные ставки не включают величину коммунальных платежей, т.е. </w:t>
      </w:r>
      <w:proofErr w:type="gramStart"/>
      <w:r w:rsidR="00BF5C03">
        <w:t>он</w:t>
      </w:r>
      <w:r w:rsidR="002C7394">
        <w:t>и</w:t>
      </w:r>
      <w:proofErr w:type="gramEnd"/>
      <w:r w:rsidR="00BF5C03">
        <w:t xml:space="preserve"> оплачиваются арендатором отдельно.</w:t>
      </w:r>
      <w:r w:rsidR="00123D2A">
        <w:t xml:space="preserve"> Следует также отметить, что типовым показателем является цена аренды 1 кв</w:t>
      </w:r>
      <w:proofErr w:type="gramStart"/>
      <w:r w:rsidR="00123D2A">
        <w:t>.м</w:t>
      </w:r>
      <w:proofErr w:type="gramEnd"/>
      <w:r w:rsidR="00123D2A">
        <w:t xml:space="preserve"> площади в интервал времени, равный месяцу.</w:t>
      </w:r>
    </w:p>
    <w:p w:rsidR="001241F1" w:rsidRDefault="001241F1" w:rsidP="001241F1">
      <w:pPr>
        <w:ind w:firstLine="709"/>
        <w:jc w:val="both"/>
      </w:pPr>
      <w:r w:rsidRPr="00C10343">
        <w:t xml:space="preserve">Интервал осуществляемого исследования принят равным месяцу. В данном случае исследуемый месяц – </w:t>
      </w:r>
      <w:r w:rsidR="00D109E1">
        <w:rPr>
          <w:sz w:val="28"/>
          <w:szCs w:val="28"/>
          <w:u w:val="single"/>
        </w:rPr>
        <w:t>март</w:t>
      </w:r>
      <w:r w:rsidR="00E206C4">
        <w:rPr>
          <w:sz w:val="28"/>
          <w:szCs w:val="28"/>
          <w:u w:val="single"/>
        </w:rPr>
        <w:t xml:space="preserve"> 2020</w:t>
      </w:r>
      <w:r w:rsidR="00093DBE" w:rsidRPr="00E40B04">
        <w:rPr>
          <w:sz w:val="28"/>
          <w:szCs w:val="28"/>
          <w:u w:val="single"/>
        </w:rPr>
        <w:t xml:space="preserve"> года</w:t>
      </w:r>
    </w:p>
    <w:p w:rsidR="00D74008" w:rsidRDefault="00D74008" w:rsidP="00D74008">
      <w:pPr>
        <w:ind w:firstLine="709"/>
        <w:jc w:val="both"/>
      </w:pPr>
      <w:r>
        <w:t xml:space="preserve">Совокупный </w:t>
      </w:r>
      <w:r w:rsidRPr="00221A08">
        <w:t>рын</w:t>
      </w:r>
      <w:r>
        <w:t>о</w:t>
      </w:r>
      <w:r w:rsidRPr="00221A08">
        <w:t xml:space="preserve">к </w:t>
      </w:r>
      <w:r>
        <w:t>торговой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093DBE">
        <w:t xml:space="preserve"> </w:t>
      </w:r>
      <w:r>
        <w:t>представлена на рисунке 1.</w:t>
      </w:r>
    </w:p>
    <w:p w:rsidR="00D74008" w:rsidRPr="00804BC6" w:rsidRDefault="00D109E1" w:rsidP="00D74008">
      <w:pPr>
        <w:jc w:val="center"/>
      </w:pPr>
      <w:r w:rsidRPr="00D109E1">
        <w:rPr>
          <w:noProof/>
        </w:rPr>
        <w:drawing>
          <wp:inline distT="0" distB="0" distL="0" distR="0">
            <wp:extent cx="2303205" cy="2230431"/>
            <wp:effectExtent l="19050" t="0" r="208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008" w:rsidRPr="00BA4A7B" w:rsidRDefault="00D74008" w:rsidP="00D74008">
      <w:pPr>
        <w:jc w:val="center"/>
        <w:rPr>
          <w:i/>
        </w:rPr>
      </w:pPr>
      <w:r w:rsidRPr="00BA4A7B">
        <w:rPr>
          <w:i/>
        </w:rPr>
        <w:t xml:space="preserve">Рисунок </w:t>
      </w:r>
      <w:r w:rsidR="00671BD2" w:rsidRPr="00BA4A7B">
        <w:rPr>
          <w:i/>
        </w:rPr>
        <w:fldChar w:fldCharType="begin"/>
      </w:r>
      <w:r w:rsidRPr="00BA4A7B">
        <w:rPr>
          <w:i/>
        </w:rPr>
        <w:instrText xml:space="preserve"> SEQ Рисунок \* ARABIC </w:instrText>
      </w:r>
      <w:r w:rsidR="00671BD2" w:rsidRPr="00BA4A7B">
        <w:rPr>
          <w:i/>
        </w:rPr>
        <w:fldChar w:fldCharType="separate"/>
      </w:r>
      <w:r w:rsidR="00740491">
        <w:rPr>
          <w:i/>
          <w:noProof/>
        </w:rPr>
        <w:t>1</w:t>
      </w:r>
      <w:r w:rsidR="00671BD2" w:rsidRPr="00BA4A7B">
        <w:rPr>
          <w:i/>
        </w:rPr>
        <w:fldChar w:fldCharType="end"/>
      </w:r>
      <w:r w:rsidRPr="00BA4A7B">
        <w:rPr>
          <w:i/>
        </w:rPr>
        <w:t xml:space="preserve"> – Общая структура предложения</w:t>
      </w:r>
    </w:p>
    <w:p w:rsidR="00D74008" w:rsidRDefault="00D74008" w:rsidP="00D74008">
      <w:pPr>
        <w:ind w:firstLine="709"/>
        <w:jc w:val="both"/>
      </w:pPr>
    </w:p>
    <w:p w:rsidR="00D74008" w:rsidRPr="00FD658D" w:rsidRDefault="00D74008" w:rsidP="00D74008">
      <w:pPr>
        <w:ind w:firstLine="709"/>
        <w:rPr>
          <w:b/>
        </w:rPr>
      </w:pPr>
      <w:r w:rsidRPr="00FD658D">
        <w:rPr>
          <w:b/>
        </w:rPr>
        <w:t>Продажа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продажи в выделенных сегментах коммерческой недвижимости</w:t>
      </w:r>
      <w:r w:rsidR="00093DBE">
        <w:t xml:space="preserve"> </w:t>
      </w:r>
      <w:r>
        <w:t>по функциональному назначению представлена на рисунке 2.</w:t>
      </w:r>
    </w:p>
    <w:p w:rsidR="00D74008" w:rsidRPr="00804BC6" w:rsidRDefault="00D109E1" w:rsidP="00D74008">
      <w:pPr>
        <w:jc w:val="center"/>
      </w:pPr>
      <w:r w:rsidRPr="00D109E1">
        <w:rPr>
          <w:noProof/>
        </w:rPr>
        <w:drawing>
          <wp:inline distT="0" distB="0" distL="0" distR="0">
            <wp:extent cx="2338387" cy="2406649"/>
            <wp:effectExtent l="19050" t="0" r="2381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008" w:rsidRPr="00BA4A7B" w:rsidRDefault="00D74008" w:rsidP="00D74008">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093DBE" w:rsidRPr="005D298D" w:rsidRDefault="00093DBE" w:rsidP="00093DBE">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D109E1">
        <w:t>торгов</w:t>
      </w:r>
      <w:r w:rsidR="00A54726">
        <w:t>ого</w:t>
      </w:r>
      <w:r w:rsidR="00D109E1">
        <w:t xml:space="preserve"> назначения 46</w:t>
      </w:r>
      <w:r w:rsidR="00E35E94">
        <w:t>%</w:t>
      </w:r>
      <w:r w:rsidRPr="003A5EFF">
        <w:t xml:space="preserve">, а наименее выставляемыми объекты </w:t>
      </w:r>
      <w:r w:rsidR="003D093A">
        <w:t>производственно-складского</w:t>
      </w:r>
      <w:r w:rsidR="00071FA8">
        <w:t xml:space="preserve"> </w:t>
      </w:r>
      <w:r w:rsidRPr="003A5EFF">
        <w:t>назначения (</w:t>
      </w:r>
      <w:r w:rsidR="00D109E1">
        <w:t>18</w:t>
      </w:r>
      <w:r w:rsidRPr="003A5EFF">
        <w:t>%).</w:t>
      </w:r>
    </w:p>
    <w:p w:rsidR="00D74008" w:rsidRDefault="00D74008" w:rsidP="00D74008">
      <w:pPr>
        <w:ind w:firstLine="540"/>
        <w:jc w:val="both"/>
      </w:pPr>
      <w:r>
        <w:t>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продажи, согласно приня</w:t>
      </w:r>
      <w:r w:rsidR="006E5E1E">
        <w:t xml:space="preserve">тому районированию </w:t>
      </w:r>
      <w:proofErr w:type="gramStart"/>
      <w:r w:rsidR="006E5E1E">
        <w:t>г</w:t>
      </w:r>
      <w:proofErr w:type="gramEnd"/>
      <w:r w:rsidR="006E5E1E">
        <w:t>. Ставрополя</w:t>
      </w:r>
      <w:r>
        <w:t>, представлена на рисунке 3.</w:t>
      </w:r>
    </w:p>
    <w:p w:rsidR="00B56402" w:rsidRDefault="00B56402" w:rsidP="00D74008">
      <w:pPr>
        <w:ind w:firstLine="540"/>
        <w:jc w:val="both"/>
      </w:pPr>
    </w:p>
    <w:p w:rsidR="00D74008" w:rsidRPr="00804BC6" w:rsidRDefault="00D109E1" w:rsidP="00D74008">
      <w:pPr>
        <w:jc w:val="center"/>
      </w:pPr>
      <w:r w:rsidRPr="00D109E1">
        <w:rPr>
          <w:noProof/>
        </w:rPr>
        <w:drawing>
          <wp:inline distT="0" distB="0" distL="0" distR="0">
            <wp:extent cx="2303205" cy="1794295"/>
            <wp:effectExtent l="19050" t="0" r="2089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402" w:rsidRPr="005C4A30" w:rsidRDefault="00D74008" w:rsidP="005C4A30">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D74008" w:rsidRPr="00C10343" w:rsidRDefault="00D74008" w:rsidP="00D74008">
      <w:pPr>
        <w:ind w:firstLine="709"/>
        <w:jc w:val="both"/>
      </w:pPr>
      <w:r w:rsidRPr="00093DBE">
        <w:t>Из проанализированных данных видно, что наибольший объем предложения торговой не</w:t>
      </w:r>
      <w:r w:rsidR="00B46B4E">
        <w:t>дв</w:t>
      </w:r>
      <w:r w:rsidR="00E206C4">
        <w:t>ижимости на</w:t>
      </w:r>
      <w:r w:rsidR="00D109E1">
        <w:t xml:space="preserve"> продажу, а именно 51</w:t>
      </w:r>
      <w:r w:rsidRPr="00093DBE">
        <w:t xml:space="preserve">% находится в </w:t>
      </w:r>
      <w:r w:rsidR="008D7449">
        <w:t>Юго-западном районе</w:t>
      </w:r>
      <w:r w:rsidRPr="00093DBE">
        <w:t>, а наименьшим объемом представлен</w:t>
      </w:r>
      <w:r w:rsidR="00E206C4">
        <w:t>ы</w:t>
      </w:r>
      <w:r w:rsidR="00BC3842">
        <w:t xml:space="preserve"> </w:t>
      </w:r>
      <w:r w:rsidR="00E206C4">
        <w:t>Другие</w:t>
      </w:r>
      <w:r w:rsidR="00986CD4">
        <w:t xml:space="preserve"> </w:t>
      </w:r>
      <w:r w:rsidR="005D7596">
        <w:t>районы</w:t>
      </w:r>
      <w:r w:rsidRPr="00093DBE">
        <w:t>–</w:t>
      </w:r>
      <w:r w:rsidR="00D109E1">
        <w:t xml:space="preserve"> 8</w:t>
      </w:r>
      <w:r w:rsidR="00A54726">
        <w:t>%</w:t>
      </w:r>
      <w:r w:rsidRPr="00093DBE">
        <w:t>.</w:t>
      </w:r>
    </w:p>
    <w:p w:rsidR="00D74008" w:rsidRDefault="00D74008" w:rsidP="00584DD5">
      <w:pPr>
        <w:ind w:firstLine="709"/>
        <w:jc w:val="both"/>
      </w:pPr>
      <w:r w:rsidRPr="00093DBE">
        <w:rPr>
          <w:spacing w:val="-6"/>
        </w:rPr>
        <w:t xml:space="preserve">В </w:t>
      </w:r>
      <w:r w:rsidR="00D109E1">
        <w:rPr>
          <w:spacing w:val="-6"/>
        </w:rPr>
        <w:t>марте</w:t>
      </w:r>
      <w:r w:rsidR="00E206C4">
        <w:rPr>
          <w:spacing w:val="-6"/>
        </w:rPr>
        <w:t xml:space="preserve"> 2020</w:t>
      </w:r>
      <w:r w:rsidRPr="00093DBE">
        <w:rPr>
          <w:spacing w:val="-6"/>
        </w:rPr>
        <w:t xml:space="preserve"> года средн</w:t>
      </w:r>
      <w:r w:rsidR="001241F1" w:rsidRPr="00093DBE">
        <w:rPr>
          <w:spacing w:val="-6"/>
        </w:rPr>
        <w:t>я</w:t>
      </w:r>
      <w:r w:rsidRPr="00093DBE">
        <w:rPr>
          <w:spacing w:val="-6"/>
        </w:rPr>
        <w:t>я</w:t>
      </w:r>
      <w:r w:rsidR="001241F1" w:rsidRPr="00093DBE">
        <w:rPr>
          <w:rStyle w:val="a6"/>
          <w:spacing w:val="-6"/>
        </w:rPr>
        <w:footnoteReference w:customMarkFollows="1" w:id="3"/>
        <w:t>*</w:t>
      </w:r>
      <w:r w:rsidRPr="00093DBE">
        <w:rPr>
          <w:spacing w:val="-6"/>
        </w:rPr>
        <w:t xml:space="preserve"> цена предложений продажи торговой недвижимости составила </w:t>
      </w:r>
      <w:r w:rsidR="00EF3F66">
        <w:rPr>
          <w:spacing w:val="-6"/>
        </w:rPr>
        <w:t xml:space="preserve"> </w:t>
      </w:r>
      <w:r w:rsidR="00D109E1">
        <w:rPr>
          <w:spacing w:val="-6"/>
        </w:rPr>
        <w:t>58 093</w:t>
      </w:r>
      <w:r w:rsidR="006E69CF">
        <w:rPr>
          <w:spacing w:val="-6"/>
        </w:rPr>
        <w:t xml:space="preserve"> </w:t>
      </w:r>
      <w:r w:rsidRPr="00093DBE">
        <w:rPr>
          <w:spacing w:val="-6"/>
        </w:rPr>
        <w:t xml:space="preserve">руб./кв. м </w:t>
      </w:r>
      <w:r w:rsidR="003526BF">
        <w:rPr>
          <w:spacing w:val="-6"/>
        </w:rPr>
        <w:t>с</w:t>
      </w:r>
      <w:r w:rsidR="003526BF" w:rsidRPr="003526BF">
        <w:rPr>
          <w:spacing w:val="-6"/>
        </w:rPr>
        <w:t>тандартная ошибка</w:t>
      </w:r>
      <w:r w:rsidRPr="00093DBE">
        <w:rPr>
          <w:spacing w:val="-6"/>
        </w:rPr>
        <w:t xml:space="preserve"> </w:t>
      </w:r>
      <w:r w:rsidR="008D7449">
        <w:rPr>
          <w:spacing w:val="-6"/>
        </w:rPr>
        <w:t>7</w:t>
      </w:r>
      <w:r w:rsidR="00D109E1">
        <w:rPr>
          <w:spacing w:val="-6"/>
        </w:rPr>
        <w:t>,4</w:t>
      </w:r>
      <w:r w:rsidRPr="00093DBE">
        <w:rPr>
          <w:spacing w:val="-6"/>
        </w:rPr>
        <w:t>%,</w:t>
      </w:r>
      <w:r w:rsidR="00152D89">
        <w:rPr>
          <w:spacing w:val="-6"/>
        </w:rPr>
        <w:t xml:space="preserve"> изменение к предыдущему месяцу </w:t>
      </w:r>
      <w:r w:rsidR="000119CE">
        <w:rPr>
          <w:spacing w:val="-6"/>
        </w:rPr>
        <w:t>10,7</w:t>
      </w:r>
      <w:r w:rsidR="007920CC">
        <w:rPr>
          <w:spacing w:val="-6"/>
        </w:rPr>
        <w:t>%</w:t>
      </w:r>
      <w:r w:rsidRPr="00093DBE">
        <w:rPr>
          <w:spacing w:val="-6"/>
        </w:rPr>
        <w:t>. Средн</w:t>
      </w:r>
      <w:r w:rsidR="001241F1" w:rsidRPr="00093DBE">
        <w:rPr>
          <w:spacing w:val="-6"/>
        </w:rPr>
        <w:t>я</w:t>
      </w:r>
      <w:r w:rsidRPr="00093DBE">
        <w:rPr>
          <w:spacing w:val="-6"/>
        </w:rPr>
        <w:t>я цена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торговой недвижимости колебалась в пределах от </w:t>
      </w:r>
      <w:r w:rsidR="00D109E1">
        <w:t>13 415</w:t>
      </w:r>
      <w:r w:rsidRPr="00093DBE">
        <w:t xml:space="preserve"> руб. до </w:t>
      </w:r>
      <w:r w:rsidR="006346AF">
        <w:t xml:space="preserve"> 1</w:t>
      </w:r>
      <w:r w:rsidR="00D109E1">
        <w:t>27 273</w:t>
      </w:r>
      <w:r w:rsidRPr="00093DBE">
        <w:t xml:space="preserve"> руб. в зависимости от </w:t>
      </w:r>
      <w:proofErr w:type="spellStart"/>
      <w:r w:rsidRPr="00093DBE">
        <w:t>ценообразующих</w:t>
      </w:r>
      <w:proofErr w:type="spellEnd"/>
      <w:r w:rsidRPr="00093DBE">
        <w:t xml:space="preserve"> факторов.</w:t>
      </w:r>
    </w:p>
    <w:p w:rsidR="00B56402" w:rsidRDefault="00B56402" w:rsidP="00D7400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Цена предложения продажи</w:t>
            </w:r>
            <w:r w:rsidRPr="00E438A9">
              <w:rPr>
                <w:i/>
              </w:rPr>
              <w:t xml:space="preserve"> единого объекта недвижи</w:t>
            </w:r>
            <w:r w:rsidR="006346AF">
              <w:rPr>
                <w:i/>
              </w:rPr>
              <w:t>мости торгового назначения,</w:t>
            </w:r>
            <w:r w:rsidRPr="00E438A9">
              <w:rPr>
                <w:i/>
              </w:rPr>
              <w:t xml:space="preserve"> руб.</w:t>
            </w:r>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0119CE" w:rsidP="00DD2141">
            <w:pPr>
              <w:jc w:val="center"/>
            </w:pPr>
            <w:r>
              <w:t>8</w:t>
            </w:r>
            <w:r w:rsidR="00D109E1">
              <w:t> 822 264</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D109E1" w:rsidP="008D7449">
            <w:pPr>
              <w:jc w:val="center"/>
            </w:pPr>
            <w:r>
              <w:t>5</w:t>
            </w:r>
            <w:r w:rsidR="008D7449">
              <w:t>5</w:t>
            </w:r>
            <w:r w:rsidR="006346AF">
              <w:t> 000 000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434CE2" w:rsidRPr="00355E72" w:rsidRDefault="00E206C4" w:rsidP="00225877">
            <w:pPr>
              <w:jc w:val="center"/>
            </w:pPr>
            <w:r>
              <w:t>95</w:t>
            </w:r>
            <w:r w:rsidR="006E69CF">
              <w:t>0</w:t>
            </w:r>
            <w:r w:rsidR="006346AF">
              <w:t xml:space="preserve"> 000</w:t>
            </w:r>
          </w:p>
        </w:tc>
      </w:tr>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продажи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0119CE" w:rsidP="00B46B4E">
            <w:pPr>
              <w:jc w:val="center"/>
            </w:pPr>
            <w:r>
              <w:t>1</w:t>
            </w:r>
            <w:r w:rsidR="00D109E1">
              <w:t>88</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D109E1" w:rsidP="00225877">
            <w:pPr>
              <w:jc w:val="center"/>
            </w:pPr>
            <w:r>
              <w:t>1 946</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0119CE" w:rsidP="00DA4A18">
            <w:pPr>
              <w:jc w:val="center"/>
            </w:pPr>
            <w:r>
              <w:t>30</w:t>
            </w:r>
          </w:p>
        </w:tc>
      </w:tr>
    </w:tbl>
    <w:p w:rsidR="00D74008" w:rsidRDefault="00D74008" w:rsidP="000B5773">
      <w:pPr>
        <w:ind w:firstLine="567"/>
        <w:jc w:val="both"/>
      </w:pPr>
      <w:r w:rsidRPr="00C10343">
        <w:t xml:space="preserve">Соотношение </w:t>
      </w:r>
      <w:r w:rsidRPr="00C10343">
        <w:rPr>
          <w:spacing w:val="-6"/>
        </w:rPr>
        <w:t>средн</w:t>
      </w:r>
      <w:r w:rsidR="001241F1" w:rsidRPr="00C10343">
        <w:rPr>
          <w:spacing w:val="-6"/>
        </w:rPr>
        <w:t>и</w:t>
      </w:r>
      <w:r w:rsidRPr="00C10343">
        <w:rPr>
          <w:spacing w:val="-6"/>
        </w:rPr>
        <w:t>х цен предложений продажи</w:t>
      </w:r>
      <w:r w:rsidRPr="00C10343">
        <w:t xml:space="preserve"> по районам</w:t>
      </w:r>
      <w:r>
        <w:t xml:space="preserve"> города приведено на рисунке 4.</w:t>
      </w:r>
    </w:p>
    <w:p w:rsidR="00D74008" w:rsidRPr="00804BC6" w:rsidRDefault="00D109E1" w:rsidP="00D74008">
      <w:pPr>
        <w:jc w:val="center"/>
      </w:pPr>
      <w:r w:rsidRPr="00D109E1">
        <w:rPr>
          <w:noProof/>
        </w:rPr>
        <w:drawing>
          <wp:inline distT="0" distB="0" distL="0" distR="0">
            <wp:extent cx="3907982" cy="1940944"/>
            <wp:effectExtent l="19050" t="0" r="16318" b="215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08" w:rsidRPr="00BA4A7B" w:rsidRDefault="00D74008" w:rsidP="00D74008">
      <w:pPr>
        <w:jc w:val="center"/>
        <w:rPr>
          <w:i/>
        </w:rPr>
      </w:pPr>
      <w:r w:rsidRPr="00BA4A7B">
        <w:rPr>
          <w:i/>
        </w:rPr>
        <w:t>Рисунок 4 – Средн</w:t>
      </w:r>
      <w:r w:rsidR="001241F1">
        <w:rPr>
          <w:i/>
        </w:rPr>
        <w:t>я</w:t>
      </w:r>
      <w:r w:rsidRPr="00BA4A7B">
        <w:rPr>
          <w:i/>
        </w:rPr>
        <w:t xml:space="preserve">я цена предложений продажи </w:t>
      </w:r>
      <w:smartTag w:uri="urn:schemas-microsoft-com:office:smarttags" w:element="metricconverter">
        <w:smartTagPr>
          <w:attr w:name="ProductID" w:val="1 кв. м"/>
        </w:smartTagPr>
        <w:r w:rsidRPr="00BA4A7B">
          <w:rPr>
            <w:i/>
          </w:rPr>
          <w:t>1 кв. м</w:t>
        </w:r>
      </w:smartTag>
      <w:r w:rsidRPr="00BA4A7B">
        <w:rPr>
          <w:i/>
        </w:rPr>
        <w:t xml:space="preserve"> торговой недвижимости по районам города, руб.</w:t>
      </w:r>
    </w:p>
    <w:p w:rsidR="00804BC6" w:rsidRDefault="00804BC6" w:rsidP="00804BC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804BC6" w:rsidRDefault="00804BC6" w:rsidP="00804BC6">
      <w:pPr>
        <w:ind w:firstLine="540"/>
        <w:jc w:val="both"/>
        <w:rPr>
          <w:spacing w:val="-6"/>
        </w:rPr>
      </w:pPr>
      <w:r>
        <w:rPr>
          <w:spacing w:val="-6"/>
        </w:rPr>
        <w:t>Долгосрочная динамика представлена на рисунках 5 и 6.</w:t>
      </w:r>
    </w:p>
    <w:p w:rsidR="00804BC6" w:rsidRDefault="00817AAB" w:rsidP="00804BC6">
      <w:pPr>
        <w:ind w:firstLine="709"/>
        <w:jc w:val="center"/>
        <w:rPr>
          <w:spacing w:val="-6"/>
        </w:rPr>
      </w:pPr>
      <w:r w:rsidRPr="00817AAB">
        <w:rPr>
          <w:noProof/>
          <w:spacing w:val="-6"/>
        </w:rPr>
        <w:drawing>
          <wp:inline distT="0" distB="0" distL="0" distR="0">
            <wp:extent cx="5505450" cy="16764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4BC6" w:rsidRPr="00C11E72" w:rsidRDefault="00804BC6" w:rsidP="00804BC6">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B56402" w:rsidRDefault="00B56402" w:rsidP="00804BC6">
      <w:pPr>
        <w:ind w:firstLine="709"/>
        <w:jc w:val="both"/>
      </w:pPr>
    </w:p>
    <w:p w:rsidR="00804BC6" w:rsidRDefault="00804BC6" w:rsidP="00804BC6">
      <w:pPr>
        <w:ind w:firstLine="709"/>
        <w:jc w:val="both"/>
      </w:pPr>
      <w:r>
        <w:t>З</w:t>
      </w:r>
      <w:r w:rsidRPr="00D1639F">
        <w:t xml:space="preserve">а исследуемый интервал времени (с 2009 г. </w:t>
      </w:r>
      <w:r w:rsidR="001C2C76">
        <w:t xml:space="preserve">по </w:t>
      </w:r>
      <w:r w:rsidRPr="00D1639F">
        <w:t>201</w:t>
      </w:r>
      <w:r w:rsidR="00817AAB">
        <w:t>9</w:t>
      </w:r>
      <w:r w:rsidRPr="00D1639F">
        <w:t xml:space="preserve"> г.) средняя цена предложений продажи </w:t>
      </w:r>
      <w:smartTag w:uri="urn:schemas-microsoft-com:office:smarttags" w:element="metricconverter">
        <w:smartTagPr>
          <w:attr w:name="ProductID" w:val="1 кв. м"/>
        </w:smartTagPr>
        <w:r w:rsidRPr="00D1639F">
          <w:t>1 кв. м</w:t>
        </w:r>
      </w:smartTag>
      <w:r w:rsidRPr="00D1639F">
        <w:t xml:space="preserve"> торговой недвижимости </w:t>
      </w:r>
      <w:r w:rsidR="00E20316">
        <w:t>выросла</w:t>
      </w:r>
      <w:r w:rsidRPr="00093DBE">
        <w:t xml:space="preserve"> на </w:t>
      </w:r>
      <w:r w:rsidR="00817AAB">
        <w:t>6 971</w:t>
      </w:r>
      <w:r w:rsidRPr="00093DBE">
        <w:t xml:space="preserve"> руб.</w:t>
      </w:r>
    </w:p>
    <w:p w:rsidR="00647495" w:rsidRDefault="00647495" w:rsidP="00804BC6">
      <w:pPr>
        <w:ind w:firstLine="709"/>
        <w:jc w:val="both"/>
      </w:pPr>
    </w:p>
    <w:p w:rsidR="00804BC6" w:rsidRDefault="00817AAB" w:rsidP="00647495">
      <w:pPr>
        <w:ind w:firstLine="709"/>
        <w:jc w:val="center"/>
        <w:rPr>
          <w:spacing w:val="-6"/>
        </w:rPr>
      </w:pPr>
      <w:r w:rsidRPr="00817AAB">
        <w:rPr>
          <w:noProof/>
          <w:spacing w:val="-6"/>
        </w:rPr>
        <w:drawing>
          <wp:inline distT="0" distB="0" distL="0" distR="0">
            <wp:extent cx="5709557" cy="1674421"/>
            <wp:effectExtent l="19050" t="0" r="24493" b="1979"/>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BC6" w:rsidRPr="00896418" w:rsidRDefault="00804BC6" w:rsidP="00804BC6">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804BC6" w:rsidRPr="00C47032" w:rsidRDefault="00804BC6" w:rsidP="00C47032">
      <w:pPr>
        <w:ind w:firstLine="709"/>
        <w:jc w:val="both"/>
      </w:pPr>
      <w:r>
        <w:t>З</w:t>
      </w:r>
      <w:r w:rsidRPr="003C4F54">
        <w:t>а исследуемый интервал времени (</w:t>
      </w:r>
      <w:r w:rsidRPr="00D1639F">
        <w:t>с 2009 г. по 201</w:t>
      </w:r>
      <w:r w:rsidR="00817AAB">
        <w:t>9</w:t>
      </w:r>
      <w:r w:rsidRPr="00D1639F">
        <w:t xml:space="preserve"> г.</w:t>
      </w:r>
      <w:r w:rsidRPr="003C4F54">
        <w:t xml:space="preserve">) средняя цена предложений продажи </w:t>
      </w:r>
      <w:smartTag w:uri="urn:schemas-microsoft-com:office:smarttags" w:element="metricconverter">
        <w:smartTagPr>
          <w:attr w:name="ProductID" w:val="1 кв. м"/>
        </w:smartTagPr>
        <w:r w:rsidRPr="003C4F54">
          <w:t>1 кв. м</w:t>
        </w:r>
      </w:smartTag>
      <w:r w:rsidRPr="003C4F54">
        <w:t xml:space="preserve"> торговой недвижимости </w:t>
      </w:r>
      <w:r w:rsidR="00E20316">
        <w:t>выросла</w:t>
      </w:r>
      <w:r w:rsidRPr="003C4F54">
        <w:t xml:space="preserve"> на </w:t>
      </w:r>
      <w:r w:rsidR="00817AAB">
        <w:t>15</w:t>
      </w:r>
      <w:r w:rsidRPr="003C4F54">
        <w:t>%.</w:t>
      </w:r>
    </w:p>
    <w:p w:rsidR="00D74008"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22712D">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0E777C">
        <w:rPr>
          <w:spacing w:val="-6"/>
        </w:rPr>
        <w:t xml:space="preserve"> В качестве базиса (100%) используется средний показатель за 2009 год (47 964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443D13" w:rsidRDefault="00443D13" w:rsidP="00D74008">
      <w:pPr>
        <w:ind w:firstLine="709"/>
        <w:jc w:val="both"/>
        <w:rPr>
          <w:spacing w:val="-6"/>
        </w:rPr>
      </w:pPr>
    </w:p>
    <w:tbl>
      <w:tblPr>
        <w:tblW w:w="5000" w:type="pct"/>
        <w:tblLook w:val="04A0"/>
      </w:tblPr>
      <w:tblGrid>
        <w:gridCol w:w="1709"/>
        <w:gridCol w:w="1228"/>
        <w:gridCol w:w="1143"/>
        <w:gridCol w:w="1228"/>
        <w:gridCol w:w="1122"/>
        <w:gridCol w:w="1253"/>
        <w:gridCol w:w="974"/>
        <w:gridCol w:w="1639"/>
      </w:tblGrid>
      <w:tr w:rsidR="00D109E1" w:rsidRPr="00D109E1" w:rsidTr="001E1770">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Район</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октябрь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ноябрь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декабрь 19</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январь 20</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февраль 20</w:t>
            </w:r>
          </w:p>
        </w:tc>
        <w:tc>
          <w:tcPr>
            <w:tcW w:w="540" w:type="pct"/>
            <w:tcBorders>
              <w:top w:val="single" w:sz="4" w:space="0" w:color="auto"/>
              <w:left w:val="nil"/>
              <w:bottom w:val="nil"/>
              <w:right w:val="single" w:sz="4" w:space="0" w:color="auto"/>
            </w:tcBorders>
            <w:shd w:val="clear" w:color="000000" w:fill="CCFFCC"/>
            <w:noWrap/>
            <w:vAlign w:val="center"/>
            <w:hideMark/>
          </w:tcPr>
          <w:p w:rsidR="00D109E1" w:rsidRPr="00D109E1" w:rsidRDefault="00D109E1" w:rsidP="00D109E1">
            <w:pPr>
              <w:jc w:val="center"/>
              <w:rPr>
                <w:sz w:val="22"/>
                <w:szCs w:val="22"/>
              </w:rPr>
            </w:pPr>
            <w:r w:rsidRPr="00D109E1">
              <w:rPr>
                <w:sz w:val="22"/>
                <w:szCs w:val="22"/>
              </w:rPr>
              <w:t>март 20</w:t>
            </w:r>
          </w:p>
        </w:tc>
        <w:tc>
          <w:tcPr>
            <w:tcW w:w="865" w:type="pct"/>
            <w:tcBorders>
              <w:top w:val="single" w:sz="4" w:space="0" w:color="auto"/>
              <w:left w:val="nil"/>
              <w:bottom w:val="nil"/>
              <w:right w:val="single" w:sz="4" w:space="0" w:color="auto"/>
            </w:tcBorders>
            <w:shd w:val="clear" w:color="000000" w:fill="99CCFF"/>
            <w:vAlign w:val="center"/>
            <w:hideMark/>
          </w:tcPr>
          <w:p w:rsidR="00D109E1" w:rsidRPr="00D109E1" w:rsidRDefault="00D109E1" w:rsidP="00D109E1">
            <w:pPr>
              <w:jc w:val="center"/>
              <w:rPr>
                <w:sz w:val="22"/>
                <w:szCs w:val="22"/>
              </w:rPr>
            </w:pPr>
            <w:r w:rsidRPr="00D109E1">
              <w:rPr>
                <w:sz w:val="22"/>
                <w:szCs w:val="22"/>
              </w:rPr>
              <w:t>Диапазон цен</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109E1" w:rsidRPr="00D109E1" w:rsidRDefault="00D109E1" w:rsidP="00D109E1">
            <w:pPr>
              <w:rPr>
                <w:sz w:val="22"/>
                <w:szCs w:val="22"/>
              </w:rPr>
            </w:pPr>
            <w:r w:rsidRPr="00D109E1">
              <w:rPr>
                <w:sz w:val="22"/>
                <w:szCs w:val="22"/>
              </w:rPr>
              <w:t>Юго-запад</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54 145</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54 183</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54 220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56 372</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66 796</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61 336</w:t>
            </w:r>
          </w:p>
        </w:tc>
        <w:tc>
          <w:tcPr>
            <w:tcW w:w="865" w:type="pct"/>
            <w:tcBorders>
              <w:top w:val="single" w:sz="4" w:space="0" w:color="auto"/>
              <w:left w:val="nil"/>
              <w:bottom w:val="single" w:sz="4" w:space="0" w:color="auto"/>
              <w:right w:val="single" w:sz="4" w:space="0" w:color="auto"/>
            </w:tcBorders>
            <w:shd w:val="clear" w:color="000000" w:fill="CCFFFF"/>
            <w:noWrap/>
            <w:vAlign w:val="center"/>
            <w:hideMark/>
          </w:tcPr>
          <w:p w:rsidR="00D109E1" w:rsidRPr="00D109E1" w:rsidRDefault="00D109E1" w:rsidP="00D109E1">
            <w:pPr>
              <w:jc w:val="center"/>
              <w:rPr>
                <w:sz w:val="22"/>
                <w:szCs w:val="22"/>
              </w:rPr>
            </w:pPr>
            <w:r w:rsidRPr="00D109E1">
              <w:rPr>
                <w:sz w:val="22"/>
                <w:szCs w:val="22"/>
              </w:rPr>
              <w:t xml:space="preserve"> 13415-127273 </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109E1" w:rsidRPr="00D109E1" w:rsidRDefault="00D109E1" w:rsidP="00D109E1">
            <w:pPr>
              <w:rPr>
                <w:sz w:val="22"/>
                <w:szCs w:val="22"/>
              </w:rPr>
            </w:pPr>
            <w:r w:rsidRPr="00D109E1">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46 724</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48 557</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50 389</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51 407</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46 450</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40 340</w:t>
            </w:r>
          </w:p>
        </w:tc>
        <w:tc>
          <w:tcPr>
            <w:tcW w:w="865" w:type="pct"/>
            <w:tcBorders>
              <w:top w:val="nil"/>
              <w:left w:val="nil"/>
              <w:bottom w:val="single" w:sz="4" w:space="0" w:color="auto"/>
              <w:right w:val="single" w:sz="4" w:space="0" w:color="auto"/>
            </w:tcBorders>
            <w:shd w:val="clear" w:color="000000" w:fill="CCFFFF"/>
            <w:noWrap/>
            <w:vAlign w:val="center"/>
            <w:hideMark/>
          </w:tcPr>
          <w:p w:rsidR="00D109E1" w:rsidRPr="00D109E1" w:rsidRDefault="00D109E1" w:rsidP="00D109E1">
            <w:pPr>
              <w:jc w:val="center"/>
              <w:rPr>
                <w:sz w:val="22"/>
                <w:szCs w:val="22"/>
              </w:rPr>
            </w:pPr>
            <w:r w:rsidRPr="00D109E1">
              <w:rPr>
                <w:sz w:val="22"/>
                <w:szCs w:val="22"/>
              </w:rPr>
              <w:t>20000-55000</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109E1" w:rsidRPr="00D109E1" w:rsidRDefault="00D109E1" w:rsidP="00D109E1">
            <w:pPr>
              <w:rPr>
                <w:sz w:val="22"/>
                <w:szCs w:val="22"/>
              </w:rPr>
            </w:pPr>
            <w:r w:rsidRPr="00D109E1">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70 651</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73 307</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75 963</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81 208</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74 404</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72 003</w:t>
            </w:r>
          </w:p>
        </w:tc>
        <w:tc>
          <w:tcPr>
            <w:tcW w:w="865" w:type="pct"/>
            <w:tcBorders>
              <w:top w:val="nil"/>
              <w:left w:val="nil"/>
              <w:bottom w:val="single" w:sz="4" w:space="0" w:color="auto"/>
              <w:right w:val="single" w:sz="4" w:space="0" w:color="auto"/>
            </w:tcBorders>
            <w:shd w:val="clear" w:color="000000" w:fill="CCFFFF"/>
            <w:noWrap/>
            <w:vAlign w:val="center"/>
            <w:hideMark/>
          </w:tcPr>
          <w:p w:rsidR="00D109E1" w:rsidRPr="00D109E1" w:rsidRDefault="00D109E1" w:rsidP="00D109E1">
            <w:pPr>
              <w:jc w:val="center"/>
              <w:rPr>
                <w:sz w:val="22"/>
                <w:szCs w:val="22"/>
              </w:rPr>
            </w:pPr>
            <w:r w:rsidRPr="00D109E1">
              <w:rPr>
                <w:sz w:val="22"/>
                <w:szCs w:val="22"/>
              </w:rPr>
              <w:t>33333-123077</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D109E1" w:rsidRPr="00D109E1" w:rsidRDefault="00D109E1" w:rsidP="00D109E1">
            <w:pPr>
              <w:rPr>
                <w:sz w:val="22"/>
                <w:szCs w:val="22"/>
              </w:rPr>
            </w:pPr>
            <w:r w:rsidRPr="00D109E1">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48 721</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43 303</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37 884</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38 644</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18 434</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sz w:val="22"/>
                <w:szCs w:val="22"/>
              </w:rPr>
            </w:pPr>
            <w:r w:rsidRPr="00D109E1">
              <w:rPr>
                <w:sz w:val="22"/>
                <w:szCs w:val="22"/>
              </w:rPr>
              <w:t>30 936</w:t>
            </w:r>
          </w:p>
        </w:tc>
        <w:tc>
          <w:tcPr>
            <w:tcW w:w="865" w:type="pct"/>
            <w:tcBorders>
              <w:top w:val="nil"/>
              <w:left w:val="nil"/>
              <w:bottom w:val="single" w:sz="4" w:space="0" w:color="auto"/>
              <w:right w:val="single" w:sz="4" w:space="0" w:color="auto"/>
            </w:tcBorders>
            <w:shd w:val="clear" w:color="000000" w:fill="CCFFFF"/>
            <w:noWrap/>
            <w:vAlign w:val="center"/>
            <w:hideMark/>
          </w:tcPr>
          <w:p w:rsidR="00D109E1" w:rsidRPr="00D109E1" w:rsidRDefault="00D109E1" w:rsidP="00D109E1">
            <w:pPr>
              <w:jc w:val="center"/>
              <w:rPr>
                <w:sz w:val="22"/>
                <w:szCs w:val="22"/>
              </w:rPr>
            </w:pPr>
            <w:r w:rsidRPr="00D109E1">
              <w:rPr>
                <w:sz w:val="22"/>
                <w:szCs w:val="22"/>
              </w:rPr>
              <w:t>23188-45794</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109E1" w:rsidRPr="00D109E1" w:rsidRDefault="00D109E1" w:rsidP="00D109E1">
            <w:pPr>
              <w:rPr>
                <w:sz w:val="22"/>
                <w:szCs w:val="22"/>
              </w:rPr>
            </w:pPr>
            <w:r w:rsidRPr="00D109E1">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60 576</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57 886</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55 195</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58 101</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64 296</w:t>
            </w:r>
          </w:p>
        </w:tc>
        <w:tc>
          <w:tcPr>
            <w:tcW w:w="540" w:type="pct"/>
            <w:tcBorders>
              <w:top w:val="nil"/>
              <w:left w:val="nil"/>
              <w:bottom w:val="single" w:sz="4" w:space="0" w:color="auto"/>
              <w:right w:val="single" w:sz="4" w:space="0" w:color="auto"/>
            </w:tcBorders>
            <w:shd w:val="clear" w:color="auto" w:fill="auto"/>
            <w:noWrap/>
            <w:vAlign w:val="center"/>
            <w:hideMark/>
          </w:tcPr>
          <w:p w:rsidR="00D109E1" w:rsidRPr="00D109E1" w:rsidRDefault="00D109E1" w:rsidP="00D109E1">
            <w:pPr>
              <w:jc w:val="center"/>
              <w:rPr>
                <w:b/>
                <w:bCs/>
                <w:sz w:val="22"/>
                <w:szCs w:val="22"/>
              </w:rPr>
            </w:pPr>
            <w:r w:rsidRPr="00D109E1">
              <w:rPr>
                <w:b/>
                <w:bCs/>
                <w:sz w:val="22"/>
                <w:szCs w:val="22"/>
              </w:rPr>
              <w:t>58 093</w:t>
            </w:r>
          </w:p>
        </w:tc>
        <w:tc>
          <w:tcPr>
            <w:tcW w:w="865" w:type="pct"/>
            <w:tcBorders>
              <w:top w:val="nil"/>
              <w:left w:val="nil"/>
              <w:bottom w:val="single" w:sz="4" w:space="0" w:color="auto"/>
              <w:right w:val="single" w:sz="4" w:space="0" w:color="auto"/>
            </w:tcBorders>
            <w:shd w:val="clear" w:color="000000" w:fill="CCFFFF"/>
            <w:vAlign w:val="center"/>
            <w:hideMark/>
          </w:tcPr>
          <w:p w:rsidR="00D109E1" w:rsidRPr="00D109E1" w:rsidRDefault="00D109E1" w:rsidP="00D109E1">
            <w:pPr>
              <w:jc w:val="center"/>
              <w:rPr>
                <w:sz w:val="22"/>
                <w:szCs w:val="22"/>
              </w:rPr>
            </w:pPr>
            <w:r w:rsidRPr="00D109E1">
              <w:rPr>
                <w:sz w:val="22"/>
                <w:szCs w:val="22"/>
              </w:rPr>
              <w:t>13415-127273</w:t>
            </w:r>
          </w:p>
        </w:tc>
      </w:tr>
      <w:tr w:rsidR="00D109E1" w:rsidRPr="00D109E1"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109E1" w:rsidRPr="00D109E1" w:rsidRDefault="00D109E1" w:rsidP="00D109E1">
            <w:pPr>
              <w:rPr>
                <w:sz w:val="22"/>
                <w:szCs w:val="22"/>
              </w:rPr>
            </w:pPr>
            <w:r w:rsidRPr="00D109E1">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126%</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121%</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115%</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121%</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134%</w:t>
            </w:r>
          </w:p>
        </w:tc>
        <w:tc>
          <w:tcPr>
            <w:tcW w:w="540" w:type="pct"/>
            <w:tcBorders>
              <w:top w:val="nil"/>
              <w:left w:val="nil"/>
              <w:bottom w:val="single" w:sz="4" w:space="0" w:color="auto"/>
              <w:right w:val="single" w:sz="4" w:space="0" w:color="auto"/>
            </w:tcBorders>
            <w:shd w:val="clear" w:color="000000" w:fill="FFFF99"/>
            <w:vAlign w:val="center"/>
            <w:hideMark/>
          </w:tcPr>
          <w:p w:rsidR="00D109E1" w:rsidRPr="00D109E1" w:rsidRDefault="00D109E1" w:rsidP="00D109E1">
            <w:pPr>
              <w:jc w:val="center"/>
              <w:rPr>
                <w:b/>
                <w:bCs/>
                <w:sz w:val="22"/>
                <w:szCs w:val="22"/>
              </w:rPr>
            </w:pPr>
            <w:r w:rsidRPr="00D109E1">
              <w:rPr>
                <w:b/>
                <w:bCs/>
                <w:sz w:val="22"/>
                <w:szCs w:val="22"/>
              </w:rPr>
              <w:t>121%</w:t>
            </w:r>
          </w:p>
        </w:tc>
        <w:tc>
          <w:tcPr>
            <w:tcW w:w="865" w:type="pct"/>
            <w:tcBorders>
              <w:top w:val="nil"/>
              <w:left w:val="nil"/>
              <w:bottom w:val="single" w:sz="4" w:space="0" w:color="auto"/>
              <w:right w:val="single" w:sz="4" w:space="0" w:color="auto"/>
            </w:tcBorders>
            <w:shd w:val="clear" w:color="000000" w:fill="CCFFFF"/>
            <w:vAlign w:val="center"/>
            <w:hideMark/>
          </w:tcPr>
          <w:p w:rsidR="00D109E1" w:rsidRPr="00D109E1" w:rsidRDefault="00D109E1" w:rsidP="00D109E1">
            <w:pPr>
              <w:jc w:val="center"/>
              <w:rPr>
                <w:b/>
                <w:bCs/>
                <w:sz w:val="22"/>
                <w:szCs w:val="22"/>
              </w:rPr>
            </w:pPr>
            <w:r w:rsidRPr="00D109E1">
              <w:rPr>
                <w:b/>
                <w:bCs/>
                <w:sz w:val="22"/>
                <w:szCs w:val="22"/>
              </w:rPr>
              <w:t>-</w:t>
            </w:r>
          </w:p>
        </w:tc>
      </w:tr>
    </w:tbl>
    <w:p w:rsidR="0027178B" w:rsidRDefault="0027178B" w:rsidP="00D74008">
      <w:pPr>
        <w:ind w:firstLine="709"/>
        <w:jc w:val="both"/>
        <w:rPr>
          <w:spacing w:val="-6"/>
        </w:rPr>
      </w:pPr>
    </w:p>
    <w:p w:rsidR="00D829C0" w:rsidRPr="00C47032" w:rsidRDefault="00D74008" w:rsidP="00C47032">
      <w:pPr>
        <w:pStyle w:val="aa"/>
        <w:jc w:val="center"/>
        <w:rPr>
          <w:b w:val="0"/>
          <w:i/>
          <w:spacing w:val="-6"/>
          <w:sz w:val="24"/>
          <w:szCs w:val="24"/>
        </w:rPr>
      </w:pPr>
      <w:r w:rsidRPr="00093DBE">
        <w:rPr>
          <w:b w:val="0"/>
          <w:i/>
          <w:sz w:val="24"/>
          <w:szCs w:val="24"/>
        </w:rPr>
        <w:t xml:space="preserve">Таблица </w:t>
      </w:r>
      <w:r w:rsidR="00671BD2" w:rsidRPr="00093DBE">
        <w:rPr>
          <w:b w:val="0"/>
          <w:i/>
          <w:sz w:val="24"/>
          <w:szCs w:val="24"/>
        </w:rPr>
        <w:fldChar w:fldCharType="begin"/>
      </w:r>
      <w:r w:rsidRPr="00093DBE">
        <w:rPr>
          <w:b w:val="0"/>
          <w:i/>
          <w:sz w:val="24"/>
          <w:szCs w:val="24"/>
        </w:rPr>
        <w:instrText xml:space="preserve"> SEQ Таблица \* ARABIC </w:instrText>
      </w:r>
      <w:r w:rsidR="00671BD2" w:rsidRPr="00093DBE">
        <w:rPr>
          <w:b w:val="0"/>
          <w:i/>
          <w:sz w:val="24"/>
          <w:szCs w:val="24"/>
        </w:rPr>
        <w:fldChar w:fldCharType="separate"/>
      </w:r>
      <w:r w:rsidR="00740491">
        <w:rPr>
          <w:b w:val="0"/>
          <w:i/>
          <w:noProof/>
          <w:sz w:val="24"/>
          <w:szCs w:val="24"/>
        </w:rPr>
        <w:t>1</w:t>
      </w:r>
      <w:r w:rsidR="00671BD2" w:rsidRPr="00093DBE">
        <w:rPr>
          <w:b w:val="0"/>
          <w:i/>
          <w:sz w:val="24"/>
          <w:szCs w:val="24"/>
        </w:rPr>
        <w:fldChar w:fldCharType="end"/>
      </w:r>
      <w:r w:rsidRPr="00093DBE">
        <w:rPr>
          <w:b w:val="0"/>
          <w:i/>
          <w:sz w:val="24"/>
          <w:szCs w:val="24"/>
        </w:rPr>
        <w:t xml:space="preserve"> – </w:t>
      </w:r>
      <w:r w:rsidR="0022712D">
        <w:rPr>
          <w:b w:val="0"/>
          <w:i/>
          <w:sz w:val="24"/>
          <w:szCs w:val="24"/>
        </w:rPr>
        <w:t>Краткосрочная д</w:t>
      </w:r>
      <w:r w:rsidRPr="00093DBE">
        <w:rPr>
          <w:b w:val="0"/>
          <w:i/>
          <w:sz w:val="24"/>
          <w:szCs w:val="24"/>
        </w:rPr>
        <w:t>инамика</w:t>
      </w:r>
      <w:r w:rsidR="001241F1" w:rsidRPr="00093DBE">
        <w:rPr>
          <w:b w:val="0"/>
          <w:i/>
          <w:sz w:val="24"/>
          <w:szCs w:val="24"/>
        </w:rPr>
        <w:t xml:space="preserve"> средних</w:t>
      </w:r>
      <w:r w:rsidRPr="00093DBE">
        <w:rPr>
          <w:b w:val="0"/>
          <w:i/>
          <w:sz w:val="24"/>
          <w:szCs w:val="24"/>
        </w:rPr>
        <w:t xml:space="preserve"> </w:t>
      </w:r>
      <w:r w:rsidRPr="00093DBE">
        <w:rPr>
          <w:b w:val="0"/>
          <w:i/>
          <w:spacing w:val="-6"/>
          <w:sz w:val="24"/>
          <w:szCs w:val="24"/>
        </w:rPr>
        <w:t>цен предложений продажи</w:t>
      </w:r>
      <w:r w:rsidRPr="00093DBE">
        <w:rPr>
          <w:b w:val="0"/>
          <w:i/>
          <w:sz w:val="24"/>
          <w:szCs w:val="24"/>
        </w:rPr>
        <w:t xml:space="preserve"> торговой недвижимости</w:t>
      </w:r>
      <w:r w:rsidR="007B3824" w:rsidRPr="00093DBE">
        <w:rPr>
          <w:b w:val="0"/>
          <w:i/>
          <w:sz w:val="24"/>
          <w:szCs w:val="24"/>
        </w:rPr>
        <w:t>, руб.</w:t>
      </w:r>
      <w:r w:rsidR="007471E7">
        <w:rPr>
          <w:b w:val="0"/>
          <w:i/>
          <w:sz w:val="24"/>
          <w:szCs w:val="24"/>
        </w:rPr>
        <w:t>/кв</w:t>
      </w:r>
      <w:proofErr w:type="gramStart"/>
      <w:r w:rsidR="007471E7">
        <w:rPr>
          <w:b w:val="0"/>
          <w:i/>
          <w:sz w:val="24"/>
          <w:szCs w:val="24"/>
        </w:rPr>
        <w:t>.м</w:t>
      </w:r>
      <w:proofErr w:type="gramEnd"/>
    </w:p>
    <w:p w:rsidR="00D74008" w:rsidRDefault="00D74008" w:rsidP="00D74008">
      <w:pPr>
        <w:ind w:firstLine="709"/>
        <w:jc w:val="both"/>
      </w:pPr>
      <w:r w:rsidRPr="00093DBE">
        <w:t>Таблица 1 свидетельствует о том, что на рынке продажи торговой недвижимости наибольшие значения цен предложений про</w:t>
      </w:r>
      <w:r w:rsidR="00F32A63">
        <w:t xml:space="preserve">дажи зафиксированы в </w:t>
      </w:r>
      <w:r w:rsidR="007918FF">
        <w:t>Центре</w:t>
      </w:r>
      <w:r w:rsidRPr="00093DBE">
        <w:t xml:space="preserve">, а наименьшие – в </w:t>
      </w:r>
      <w:r w:rsidR="00817AAB">
        <w:rPr>
          <w:spacing w:val="-8"/>
        </w:rPr>
        <w:t>Других</w:t>
      </w:r>
      <w:r w:rsidR="00AF5109">
        <w:rPr>
          <w:spacing w:val="-8"/>
        </w:rPr>
        <w:t xml:space="preserve"> район</w:t>
      </w:r>
      <w:r w:rsidR="00817AAB">
        <w:rPr>
          <w:spacing w:val="-8"/>
        </w:rPr>
        <w:t>ах</w:t>
      </w:r>
      <w:r w:rsidRPr="00093DBE">
        <w:t>.</w:t>
      </w:r>
    </w:p>
    <w:p w:rsidR="00D74008" w:rsidRDefault="000E777C" w:rsidP="009F2C44">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 xml:space="preserve">рисунке </w:t>
      </w:r>
      <w:r>
        <w:t>7</w:t>
      </w:r>
      <w:r w:rsidR="00D74008">
        <w:t>.</w:t>
      </w:r>
    </w:p>
    <w:p w:rsidR="00D74008" w:rsidRPr="000E777C" w:rsidRDefault="001E1770" w:rsidP="00D74008">
      <w:pPr>
        <w:ind w:firstLine="540"/>
        <w:jc w:val="center"/>
      </w:pPr>
      <w:r w:rsidRPr="001E1770">
        <w:lastRenderedPageBreak/>
        <w:drawing>
          <wp:inline distT="0" distB="0" distL="0" distR="0">
            <wp:extent cx="5975350" cy="2122885"/>
            <wp:effectExtent l="19050" t="0" r="2540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008" w:rsidRPr="00AC6DDC" w:rsidRDefault="00D74008" w:rsidP="00AC6DDC">
      <w:pPr>
        <w:pStyle w:val="aa"/>
        <w:ind w:firstLine="540"/>
        <w:jc w:val="center"/>
        <w:rPr>
          <w:b w:val="0"/>
          <w:i/>
          <w:sz w:val="24"/>
          <w:szCs w:val="24"/>
        </w:rPr>
      </w:pPr>
      <w:r w:rsidRPr="0066391A">
        <w:rPr>
          <w:b w:val="0"/>
          <w:i/>
          <w:sz w:val="24"/>
          <w:szCs w:val="24"/>
        </w:rPr>
        <w:t xml:space="preserve">Рисунок </w:t>
      </w:r>
      <w:r w:rsidR="000E777C">
        <w:rPr>
          <w:b w:val="0"/>
          <w:i/>
          <w:sz w:val="24"/>
          <w:szCs w:val="24"/>
        </w:rPr>
        <w:t>7</w:t>
      </w:r>
      <w:r w:rsidRPr="0066391A">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0E777C" w:rsidRPr="00AC6DDC" w:rsidRDefault="000E777C" w:rsidP="00AC6DD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продажи</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t>8</w:t>
      </w:r>
      <w:r w:rsidR="00D74008" w:rsidRPr="00B03E52">
        <w:t>.</w:t>
      </w:r>
    </w:p>
    <w:p w:rsidR="00D74008" w:rsidRPr="000E777C" w:rsidRDefault="001E1770" w:rsidP="00D74008">
      <w:pPr>
        <w:ind w:firstLine="540"/>
        <w:jc w:val="center"/>
      </w:pPr>
      <w:r w:rsidRPr="001E1770">
        <w:rPr>
          <w:noProof/>
        </w:rPr>
        <w:drawing>
          <wp:inline distT="0" distB="0" distL="0" distR="0">
            <wp:extent cx="6034484" cy="2122885"/>
            <wp:effectExtent l="19050" t="0" r="23416"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008" w:rsidRPr="00AC6DDC" w:rsidRDefault="00D74008" w:rsidP="00AC6DDC">
      <w:pPr>
        <w:pStyle w:val="aa"/>
        <w:jc w:val="center"/>
        <w:rPr>
          <w:b w:val="0"/>
          <w:i/>
          <w:sz w:val="24"/>
          <w:szCs w:val="24"/>
        </w:rPr>
      </w:pPr>
      <w:r w:rsidRPr="00896418">
        <w:rPr>
          <w:b w:val="0"/>
          <w:i/>
          <w:sz w:val="24"/>
          <w:szCs w:val="24"/>
        </w:rPr>
        <w:t xml:space="preserve">Рисунок </w:t>
      </w:r>
      <w:r w:rsidR="000E777C">
        <w:rPr>
          <w:b w:val="0"/>
          <w:i/>
          <w:sz w:val="24"/>
          <w:szCs w:val="24"/>
        </w:rPr>
        <w:t>8</w:t>
      </w:r>
      <w:r w:rsidRPr="00896418">
        <w:rPr>
          <w:b w:val="0"/>
          <w:i/>
          <w:sz w:val="24"/>
          <w:szCs w:val="24"/>
        </w:rPr>
        <w:t xml:space="preserve"> – </w:t>
      </w:r>
      <w:r w:rsidR="000E777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D74008" w:rsidRPr="00FD658D" w:rsidRDefault="00D74008" w:rsidP="00B56402">
      <w:pPr>
        <w:ind w:firstLine="709"/>
        <w:rPr>
          <w:b/>
        </w:rPr>
      </w:pPr>
      <w:r w:rsidRPr="00794772">
        <w:rPr>
          <w:b/>
        </w:rPr>
        <w:t>Аренда торговой недвижимости</w:t>
      </w:r>
    </w:p>
    <w:p w:rsidR="00D74008" w:rsidRDefault="00D74008" w:rsidP="00D74008">
      <w:pPr>
        <w:ind w:firstLine="709"/>
        <w:jc w:val="both"/>
      </w:pPr>
    </w:p>
    <w:p w:rsidR="00D74008" w:rsidRDefault="00D74008" w:rsidP="00D74008">
      <w:pPr>
        <w:ind w:firstLine="709"/>
        <w:jc w:val="both"/>
      </w:pPr>
      <w:r>
        <w:t>Структура предложений аренды в выделенных сегментах коммерческой недвижимости</w:t>
      </w:r>
      <w:r w:rsidR="003C4F54">
        <w:t xml:space="preserve"> </w:t>
      </w:r>
      <w:r>
        <w:t xml:space="preserve">по функциональному назначению представлена на рисунке </w:t>
      </w:r>
      <w:r w:rsidR="000E777C">
        <w:t>9</w:t>
      </w:r>
      <w:r>
        <w:t>.</w:t>
      </w:r>
    </w:p>
    <w:p w:rsidR="005B24DA" w:rsidRDefault="005B24DA" w:rsidP="00D74008">
      <w:pPr>
        <w:ind w:firstLine="709"/>
        <w:jc w:val="both"/>
      </w:pPr>
    </w:p>
    <w:p w:rsidR="00D74008" w:rsidRPr="00C82577" w:rsidRDefault="001E1770" w:rsidP="00D74008">
      <w:pPr>
        <w:jc w:val="center"/>
      </w:pPr>
      <w:r w:rsidRPr="001E1770">
        <w:rPr>
          <w:noProof/>
        </w:rPr>
        <w:drawing>
          <wp:inline distT="0" distB="0" distL="0" distR="0">
            <wp:extent cx="2301478" cy="2394744"/>
            <wp:effectExtent l="19050" t="0" r="22622" b="5556"/>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4008" w:rsidRPr="00443D13" w:rsidRDefault="00D74008" w:rsidP="00443D13">
      <w:pPr>
        <w:pStyle w:val="aa"/>
        <w:jc w:val="center"/>
        <w:rPr>
          <w:b w:val="0"/>
          <w:i/>
          <w:sz w:val="24"/>
          <w:szCs w:val="24"/>
        </w:rPr>
      </w:pPr>
      <w:r w:rsidRPr="00BA4A7B">
        <w:rPr>
          <w:b w:val="0"/>
          <w:i/>
          <w:sz w:val="24"/>
          <w:szCs w:val="24"/>
        </w:rPr>
        <w:t xml:space="preserve">Рисунок </w:t>
      </w:r>
      <w:r w:rsidR="000E777C">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3C4F54" w:rsidRPr="005D298D" w:rsidRDefault="003C4F54" w:rsidP="003C4F5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1E1770">
        <w:t>торгов</w:t>
      </w:r>
      <w:r w:rsidR="00A528B9">
        <w:t>ого</w:t>
      </w:r>
      <w:r w:rsidR="00AD7846">
        <w:t xml:space="preserve"> </w:t>
      </w:r>
      <w:r w:rsidRPr="00086760">
        <w:t xml:space="preserve">назначения </w:t>
      </w:r>
      <w:r w:rsidR="00A46DF0">
        <w:t>–</w:t>
      </w:r>
      <w:r w:rsidR="001E1770">
        <w:t xml:space="preserve"> 39</w:t>
      </w:r>
      <w:r w:rsidRPr="00086760">
        <w:t>%, а</w:t>
      </w:r>
      <w:r w:rsidR="00F32A63">
        <w:t xml:space="preserve"> наименее выставляемыми </w:t>
      </w:r>
      <w:r w:rsidR="00817AAB">
        <w:t xml:space="preserve">производственно-складские </w:t>
      </w:r>
      <w:r w:rsidR="00F32A63">
        <w:t>объекты</w:t>
      </w:r>
      <w:r w:rsidR="00AF5109">
        <w:t xml:space="preserve"> </w:t>
      </w:r>
      <w:r w:rsidR="006E69CF">
        <w:t>недвижимости</w:t>
      </w:r>
      <w:r w:rsidR="001E1770">
        <w:t>– 23</w:t>
      </w:r>
      <w:r w:rsidR="00AF5109">
        <w:t>%</w:t>
      </w:r>
      <w:r w:rsidRPr="00086760">
        <w:t>.</w:t>
      </w:r>
    </w:p>
    <w:p w:rsidR="00D74008" w:rsidRDefault="00D74008" w:rsidP="00D74008">
      <w:pPr>
        <w:ind w:firstLine="540"/>
        <w:jc w:val="both"/>
      </w:pPr>
      <w:r>
        <w:t xml:space="preserve">Анализ ситуации, сложившейся на рынке торговой недвижимости может быть выполнен с точки зрения местонахождения объекта торговой недвижимости. Структура предложений аренды, согласно принятому районированию </w:t>
      </w:r>
      <w:proofErr w:type="gramStart"/>
      <w:r>
        <w:t>г</w:t>
      </w:r>
      <w:proofErr w:type="gramEnd"/>
      <w:r>
        <w:t xml:space="preserve">. Ставрополь, представлена на рисунке </w:t>
      </w:r>
      <w:r w:rsidR="00C82577">
        <w:t>10</w:t>
      </w:r>
      <w:r>
        <w:t>.</w:t>
      </w:r>
    </w:p>
    <w:p w:rsidR="005B24DA" w:rsidRDefault="005B24DA" w:rsidP="00D74008">
      <w:pPr>
        <w:ind w:firstLine="540"/>
        <w:jc w:val="both"/>
      </w:pPr>
    </w:p>
    <w:p w:rsidR="00D74008" w:rsidRPr="00C82577" w:rsidRDefault="001E1770" w:rsidP="00D74008">
      <w:pPr>
        <w:jc w:val="center"/>
      </w:pPr>
      <w:r w:rsidRPr="001E1770">
        <w:rPr>
          <w:noProof/>
        </w:rPr>
        <w:drawing>
          <wp:inline distT="0" distB="0" distL="0" distR="0">
            <wp:extent cx="2300030" cy="1923691"/>
            <wp:effectExtent l="19050" t="0" r="24070" b="359"/>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4008" w:rsidRPr="00BA4A7B" w:rsidRDefault="00D74008" w:rsidP="00D74008">
      <w:pPr>
        <w:pStyle w:val="aa"/>
        <w:jc w:val="center"/>
        <w:rPr>
          <w:b w:val="0"/>
          <w:i/>
          <w:sz w:val="24"/>
          <w:szCs w:val="24"/>
        </w:rPr>
      </w:pPr>
      <w:r w:rsidRPr="00BA4A7B">
        <w:rPr>
          <w:b w:val="0"/>
          <w:i/>
          <w:sz w:val="24"/>
          <w:szCs w:val="24"/>
        </w:rPr>
        <w:t xml:space="preserve">Рисунок </w:t>
      </w:r>
      <w:r w:rsidR="00C82577">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D74008" w:rsidRPr="000022F2" w:rsidRDefault="00D74008" w:rsidP="00D74008">
      <w:pPr>
        <w:ind w:firstLine="540"/>
        <w:jc w:val="center"/>
        <w:rPr>
          <w:i/>
        </w:rPr>
      </w:pPr>
    </w:p>
    <w:p w:rsidR="00D74008" w:rsidRPr="003C4F54" w:rsidRDefault="00D74008" w:rsidP="00D74008">
      <w:pPr>
        <w:ind w:firstLine="709"/>
        <w:jc w:val="both"/>
      </w:pPr>
      <w:r w:rsidRPr="003C4F54">
        <w:t xml:space="preserve">Из проанализированных данных видно, что наибольший объем предложения торговой недвижимости в наем, а именно </w:t>
      </w:r>
      <w:r w:rsidR="001E1770">
        <w:t xml:space="preserve"> 39</w:t>
      </w:r>
      <w:r w:rsidRPr="003C4F54">
        <w:t xml:space="preserve">% находится </w:t>
      </w:r>
      <w:r w:rsidR="006E095F">
        <w:t xml:space="preserve">в </w:t>
      </w:r>
      <w:r w:rsidR="00001F11">
        <w:t>Юго-западном районе</w:t>
      </w:r>
      <w:r w:rsidRPr="003C4F54">
        <w:t xml:space="preserve">, </w:t>
      </w:r>
      <w:r w:rsidR="00622D11">
        <w:t>а</w:t>
      </w:r>
      <w:r w:rsidR="00001F11">
        <w:t xml:space="preserve"> наименьшим объемом представлен</w:t>
      </w:r>
      <w:r w:rsidR="000119CE">
        <w:t>ы</w:t>
      </w:r>
      <w:r w:rsidR="00622D11">
        <w:t xml:space="preserve"> </w:t>
      </w:r>
      <w:r w:rsidR="000119CE">
        <w:t>Другие</w:t>
      </w:r>
      <w:r w:rsidR="00001F11">
        <w:t xml:space="preserve"> район</w:t>
      </w:r>
      <w:r w:rsidR="000119CE">
        <w:t>ы</w:t>
      </w:r>
      <w:r w:rsidR="00C27A1A">
        <w:t xml:space="preserve"> </w:t>
      </w:r>
      <w:r w:rsidR="00900431" w:rsidRPr="003C4F54">
        <w:t>–</w:t>
      </w:r>
      <w:r w:rsidR="00225877">
        <w:t xml:space="preserve"> </w:t>
      </w:r>
      <w:r w:rsidR="001E1770">
        <w:t>12</w:t>
      </w:r>
      <w:r w:rsidR="00CF7FDC">
        <w:t>% соответственно</w:t>
      </w:r>
      <w:r w:rsidR="006E69CF">
        <w:t>.</w:t>
      </w:r>
    </w:p>
    <w:p w:rsidR="00434CE2" w:rsidRPr="006E095F" w:rsidRDefault="00D74008" w:rsidP="006E095F">
      <w:pPr>
        <w:ind w:firstLine="709"/>
        <w:jc w:val="both"/>
        <w:rPr>
          <w:spacing w:val="-6"/>
        </w:rPr>
      </w:pPr>
      <w:r w:rsidRPr="003C4F54">
        <w:rPr>
          <w:spacing w:val="-6"/>
        </w:rPr>
        <w:t xml:space="preserve">В </w:t>
      </w:r>
      <w:r w:rsidR="001E1770">
        <w:rPr>
          <w:spacing w:val="-6"/>
        </w:rPr>
        <w:t>март</w:t>
      </w:r>
      <w:r w:rsidR="006E69CF">
        <w:rPr>
          <w:spacing w:val="-6"/>
        </w:rPr>
        <w:t>е</w:t>
      </w:r>
      <w:r w:rsidR="00001F11">
        <w:rPr>
          <w:spacing w:val="-6"/>
        </w:rPr>
        <w:t xml:space="preserve"> 2020</w:t>
      </w:r>
      <w:r w:rsidRPr="003C4F54">
        <w:rPr>
          <w:spacing w:val="-6"/>
        </w:rPr>
        <w:t xml:space="preserve"> года средн</w:t>
      </w:r>
      <w:r w:rsidR="001241F1" w:rsidRPr="003C4F54">
        <w:rPr>
          <w:spacing w:val="-6"/>
        </w:rPr>
        <w:t>я</w:t>
      </w:r>
      <w:r w:rsidRPr="003C4F54">
        <w:rPr>
          <w:spacing w:val="-6"/>
        </w:rPr>
        <w:t xml:space="preserve">я цена предложений аренды торговой недвижимости составила </w:t>
      </w:r>
      <w:r w:rsidR="001E1770">
        <w:rPr>
          <w:spacing w:val="-6"/>
        </w:rPr>
        <w:t>633</w:t>
      </w:r>
      <w:r w:rsidRPr="003C4F54">
        <w:rPr>
          <w:spacing w:val="-6"/>
        </w:rPr>
        <w:t xml:space="preserve"> руб./кв. м/мес. </w:t>
      </w:r>
      <w:r w:rsidR="003526BF">
        <w:rPr>
          <w:spacing w:val="-6"/>
        </w:rPr>
        <w:t>с</w:t>
      </w:r>
      <w:r w:rsidR="003526BF" w:rsidRPr="003526BF">
        <w:rPr>
          <w:spacing w:val="-6"/>
        </w:rPr>
        <w:t>тандартная ошибка</w:t>
      </w:r>
      <w:r w:rsidRPr="003C4F54">
        <w:rPr>
          <w:spacing w:val="-6"/>
        </w:rPr>
        <w:t xml:space="preserve"> </w:t>
      </w:r>
      <w:r w:rsidR="000119CE">
        <w:rPr>
          <w:spacing w:val="-6"/>
        </w:rPr>
        <w:t>7</w:t>
      </w:r>
      <w:r w:rsidR="001E1770">
        <w:rPr>
          <w:spacing w:val="-6"/>
        </w:rPr>
        <w:t>,8</w:t>
      </w:r>
      <w:r w:rsidRPr="003C4F54">
        <w:rPr>
          <w:spacing w:val="-6"/>
        </w:rPr>
        <w:t>%,</w:t>
      </w:r>
      <w:r w:rsidR="004D0175">
        <w:rPr>
          <w:spacing w:val="-6"/>
        </w:rPr>
        <w:t xml:space="preserve"> изменение к предыдущему месяцу </w:t>
      </w:r>
      <w:r w:rsidR="001E1770">
        <w:rPr>
          <w:spacing w:val="-6"/>
        </w:rPr>
        <w:t>3,1</w:t>
      </w:r>
      <w:r w:rsidR="007920CC">
        <w:rPr>
          <w:spacing w:val="-6"/>
        </w:rPr>
        <w:t>%</w:t>
      </w:r>
      <w:r w:rsidRPr="003C4F54">
        <w:rPr>
          <w:spacing w:val="-6"/>
        </w:rPr>
        <w:t>. Средн</w:t>
      </w:r>
      <w:r w:rsidR="001241F1" w:rsidRPr="003C4F54">
        <w:rPr>
          <w:spacing w:val="-6"/>
        </w:rPr>
        <w:t>я</w:t>
      </w:r>
      <w:r w:rsidRPr="003C4F54">
        <w:rPr>
          <w:spacing w:val="-6"/>
        </w:rPr>
        <w:t>я цена предложений аренды</w:t>
      </w:r>
      <w:r w:rsidRPr="003C4F54">
        <w:t xml:space="preserve"> 1 кв. м/мес. торговой недвижи</w:t>
      </w:r>
      <w:r w:rsidR="00900431" w:rsidRPr="003C4F54">
        <w:t xml:space="preserve">мости колебалась в пределах от </w:t>
      </w:r>
      <w:r w:rsidR="00CF7FDC">
        <w:t>2</w:t>
      </w:r>
      <w:r w:rsidR="001E1770">
        <w:t>00</w:t>
      </w:r>
      <w:r w:rsidRPr="003C4F54">
        <w:t xml:space="preserve"> руб. до </w:t>
      </w:r>
      <w:r w:rsidR="00E918B9">
        <w:t xml:space="preserve">    </w:t>
      </w:r>
      <w:r w:rsidR="001E1770">
        <w:t xml:space="preserve"> 2 450</w:t>
      </w:r>
      <w:r w:rsidR="00EF5AAE">
        <w:t xml:space="preserve"> </w:t>
      </w:r>
      <w:r w:rsidRPr="003C4F54">
        <w:t xml:space="preserve">руб. в зависимости от </w:t>
      </w:r>
      <w:proofErr w:type="spellStart"/>
      <w:r w:rsidRPr="003C4F54">
        <w:t>ценообразующих</w:t>
      </w:r>
      <w:proofErr w:type="spellEnd"/>
      <w:r w:rsidRPr="003C4F54">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Цена предложения </w:t>
            </w:r>
            <w:r w:rsidR="005B24DA" w:rsidRPr="00E438A9">
              <w:rPr>
                <w:i/>
                <w:spacing w:val="-6"/>
              </w:rPr>
              <w:t>аренды</w:t>
            </w:r>
            <w:r w:rsidRPr="00E438A9">
              <w:rPr>
                <w:i/>
              </w:rPr>
              <w:t xml:space="preserve"> единого объекта недвижимости торгового н</w:t>
            </w:r>
            <w:r w:rsidR="000F4134">
              <w:rPr>
                <w:i/>
              </w:rPr>
              <w:t xml:space="preserve">азначения, </w:t>
            </w:r>
            <w:r w:rsidRPr="00E438A9">
              <w:rPr>
                <w:i/>
              </w:rPr>
              <w:t>руб.</w:t>
            </w:r>
            <w:r w:rsidR="005B24DA" w:rsidRPr="00E438A9">
              <w:rPr>
                <w:i/>
              </w:rPr>
              <w:t>/мес.</w:t>
            </w:r>
          </w:p>
        </w:tc>
      </w:tr>
      <w:tr w:rsidR="00434CE2" w:rsidTr="00E438A9">
        <w:tc>
          <w:tcPr>
            <w:tcW w:w="5148" w:type="dxa"/>
            <w:shd w:val="clear" w:color="auto" w:fill="auto"/>
          </w:tcPr>
          <w:p w:rsidR="00434CE2" w:rsidRDefault="00434CE2" w:rsidP="00E438A9">
            <w:pPr>
              <w:jc w:val="center"/>
            </w:pPr>
            <w:r>
              <w:t>Средняя</w:t>
            </w:r>
          </w:p>
        </w:tc>
        <w:tc>
          <w:tcPr>
            <w:tcW w:w="5148" w:type="dxa"/>
            <w:shd w:val="clear" w:color="auto" w:fill="auto"/>
          </w:tcPr>
          <w:p w:rsidR="00434CE2" w:rsidRDefault="0076224F" w:rsidP="003C0386">
            <w:pPr>
              <w:jc w:val="center"/>
            </w:pPr>
            <w:r>
              <w:t>1</w:t>
            </w:r>
            <w:r w:rsidR="00C8650E">
              <w:t xml:space="preserve">02 </w:t>
            </w:r>
            <w:r w:rsidR="001E1770">
              <w:t>609</w:t>
            </w:r>
          </w:p>
        </w:tc>
      </w:tr>
      <w:tr w:rsidR="00434CE2" w:rsidTr="00E438A9">
        <w:tc>
          <w:tcPr>
            <w:tcW w:w="5148" w:type="dxa"/>
            <w:shd w:val="clear" w:color="auto" w:fill="auto"/>
          </w:tcPr>
          <w:p w:rsidR="00434CE2" w:rsidRDefault="00434CE2" w:rsidP="00E438A9">
            <w:pPr>
              <w:jc w:val="center"/>
            </w:pPr>
            <w:r>
              <w:t>Максимальная</w:t>
            </w:r>
          </w:p>
        </w:tc>
        <w:tc>
          <w:tcPr>
            <w:tcW w:w="5148" w:type="dxa"/>
            <w:shd w:val="clear" w:color="auto" w:fill="auto"/>
          </w:tcPr>
          <w:p w:rsidR="00434CE2" w:rsidRDefault="001E1770" w:rsidP="001E1770">
            <w:pPr>
              <w:jc w:val="center"/>
            </w:pPr>
            <w:r>
              <w:t>504 000</w:t>
            </w:r>
          </w:p>
        </w:tc>
      </w:tr>
      <w:tr w:rsidR="00434CE2" w:rsidTr="00E438A9">
        <w:tc>
          <w:tcPr>
            <w:tcW w:w="5148" w:type="dxa"/>
            <w:shd w:val="clear" w:color="auto" w:fill="auto"/>
          </w:tcPr>
          <w:p w:rsidR="00434CE2" w:rsidRDefault="00434CE2" w:rsidP="00E438A9">
            <w:pPr>
              <w:jc w:val="center"/>
            </w:pPr>
            <w:r>
              <w:t>Минимальная</w:t>
            </w:r>
          </w:p>
        </w:tc>
        <w:tc>
          <w:tcPr>
            <w:tcW w:w="5148" w:type="dxa"/>
            <w:shd w:val="clear" w:color="auto" w:fill="auto"/>
          </w:tcPr>
          <w:p w:rsidR="00434CE2" w:rsidRDefault="00C8650E" w:rsidP="00AD7846">
            <w:pPr>
              <w:jc w:val="center"/>
            </w:pPr>
            <w:r>
              <w:t>6</w:t>
            </w:r>
            <w:r w:rsidR="000F4134">
              <w:t xml:space="preserve"> 000</w:t>
            </w:r>
          </w:p>
        </w:tc>
      </w:tr>
    </w:tbl>
    <w:p w:rsidR="00434CE2" w:rsidRDefault="00434CE2" w:rsidP="00434CE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34CE2" w:rsidRPr="00434CE2" w:rsidTr="00E438A9">
        <w:tc>
          <w:tcPr>
            <w:tcW w:w="10296" w:type="dxa"/>
            <w:gridSpan w:val="2"/>
            <w:shd w:val="clear" w:color="auto" w:fill="FDE9D9"/>
          </w:tcPr>
          <w:p w:rsidR="00434CE2" w:rsidRPr="00E438A9" w:rsidRDefault="00434CE2" w:rsidP="00E438A9">
            <w:pPr>
              <w:jc w:val="center"/>
              <w:rPr>
                <w:i/>
              </w:rPr>
            </w:pPr>
            <w:r w:rsidRPr="00E438A9">
              <w:rPr>
                <w:i/>
                <w:spacing w:val="-6"/>
              </w:rPr>
              <w:t xml:space="preserve">Общая площадь предложения </w:t>
            </w:r>
            <w:r w:rsidR="005B24DA" w:rsidRPr="00E438A9">
              <w:rPr>
                <w:i/>
                <w:spacing w:val="-6"/>
              </w:rPr>
              <w:t>аренды</w:t>
            </w:r>
            <w:r w:rsidRPr="00E438A9">
              <w:rPr>
                <w:i/>
                <w:spacing w:val="-6"/>
              </w:rPr>
              <w:t xml:space="preserve"> </w:t>
            </w:r>
            <w:r w:rsidRPr="00E438A9">
              <w:rPr>
                <w:i/>
              </w:rPr>
              <w:t>единого объекта недвижимости торгового назначения, кв</w:t>
            </w:r>
            <w:proofErr w:type="gramStart"/>
            <w:r w:rsidRPr="00E438A9">
              <w:rPr>
                <w:i/>
              </w:rPr>
              <w:t>.м</w:t>
            </w:r>
            <w:proofErr w:type="gramEnd"/>
          </w:p>
        </w:tc>
      </w:tr>
      <w:tr w:rsidR="00434CE2" w:rsidTr="00E438A9">
        <w:tc>
          <w:tcPr>
            <w:tcW w:w="5148" w:type="dxa"/>
            <w:shd w:val="clear" w:color="auto" w:fill="auto"/>
          </w:tcPr>
          <w:p w:rsidR="00434CE2" w:rsidRPr="00355E72" w:rsidRDefault="00434CE2" w:rsidP="00E438A9">
            <w:pPr>
              <w:jc w:val="center"/>
            </w:pPr>
            <w:r w:rsidRPr="00355E72">
              <w:t>Средняя</w:t>
            </w:r>
          </w:p>
        </w:tc>
        <w:tc>
          <w:tcPr>
            <w:tcW w:w="5148" w:type="dxa"/>
            <w:shd w:val="clear" w:color="auto" w:fill="auto"/>
          </w:tcPr>
          <w:p w:rsidR="00434CE2" w:rsidRPr="00355E72" w:rsidRDefault="001E1770" w:rsidP="000A4539">
            <w:pPr>
              <w:jc w:val="center"/>
            </w:pPr>
            <w:r>
              <w:t>191</w:t>
            </w:r>
          </w:p>
        </w:tc>
      </w:tr>
      <w:tr w:rsidR="00434CE2" w:rsidTr="00E438A9">
        <w:tc>
          <w:tcPr>
            <w:tcW w:w="5148" w:type="dxa"/>
            <w:shd w:val="clear" w:color="auto" w:fill="auto"/>
          </w:tcPr>
          <w:p w:rsidR="00434CE2" w:rsidRPr="00355E72" w:rsidRDefault="00434CE2" w:rsidP="00E438A9">
            <w:pPr>
              <w:jc w:val="center"/>
            </w:pPr>
            <w:r w:rsidRPr="00355E72">
              <w:t>Максимальная</w:t>
            </w:r>
          </w:p>
        </w:tc>
        <w:tc>
          <w:tcPr>
            <w:tcW w:w="5148" w:type="dxa"/>
            <w:shd w:val="clear" w:color="auto" w:fill="auto"/>
          </w:tcPr>
          <w:p w:rsidR="00434CE2" w:rsidRPr="00355E72" w:rsidRDefault="001E1770" w:rsidP="00C8650E">
            <w:pPr>
              <w:jc w:val="center"/>
            </w:pPr>
            <w:r>
              <w:t>1 260</w:t>
            </w:r>
          </w:p>
        </w:tc>
      </w:tr>
      <w:tr w:rsidR="00434CE2" w:rsidTr="00E438A9">
        <w:tc>
          <w:tcPr>
            <w:tcW w:w="5148" w:type="dxa"/>
            <w:shd w:val="clear" w:color="auto" w:fill="auto"/>
          </w:tcPr>
          <w:p w:rsidR="00434CE2" w:rsidRPr="00355E72" w:rsidRDefault="00434CE2" w:rsidP="00E438A9">
            <w:pPr>
              <w:jc w:val="center"/>
            </w:pPr>
            <w:r w:rsidRPr="00355E72">
              <w:t>Минимальная</w:t>
            </w:r>
          </w:p>
        </w:tc>
        <w:tc>
          <w:tcPr>
            <w:tcW w:w="5148" w:type="dxa"/>
            <w:shd w:val="clear" w:color="auto" w:fill="auto"/>
          </w:tcPr>
          <w:p w:rsidR="009D70E1" w:rsidRPr="00355E72" w:rsidRDefault="00C8650E" w:rsidP="009D70E1">
            <w:pPr>
              <w:jc w:val="center"/>
            </w:pPr>
            <w:r>
              <w:t>12</w:t>
            </w:r>
          </w:p>
        </w:tc>
      </w:tr>
    </w:tbl>
    <w:p w:rsidR="00D74008" w:rsidRDefault="00D74008" w:rsidP="004D0175">
      <w:pPr>
        <w:ind w:firstLine="567"/>
        <w:jc w:val="both"/>
      </w:pPr>
      <w:r w:rsidRPr="00900431">
        <w:t xml:space="preserve">Соотношение </w:t>
      </w:r>
      <w:r w:rsidRPr="00900431">
        <w:rPr>
          <w:spacing w:val="-6"/>
        </w:rPr>
        <w:t>средн</w:t>
      </w:r>
      <w:r w:rsidR="001241F1" w:rsidRPr="00900431">
        <w:rPr>
          <w:spacing w:val="-6"/>
        </w:rPr>
        <w:t>и</w:t>
      </w:r>
      <w:r w:rsidRPr="00900431">
        <w:rPr>
          <w:spacing w:val="-6"/>
        </w:rPr>
        <w:t>х цен предложений аренды</w:t>
      </w:r>
      <w:r w:rsidRPr="00900431">
        <w:t xml:space="preserve"> по</w:t>
      </w:r>
      <w:r>
        <w:t xml:space="preserve"> районам города приведено на рисунке </w:t>
      </w:r>
      <w:r w:rsidR="00415C26">
        <w:t>11</w:t>
      </w:r>
      <w:r>
        <w:t>.</w:t>
      </w:r>
    </w:p>
    <w:p w:rsidR="00D74008" w:rsidRPr="00415C26" w:rsidRDefault="001E1770" w:rsidP="00D74008">
      <w:pPr>
        <w:jc w:val="center"/>
      </w:pPr>
      <w:r w:rsidRPr="001E1770">
        <w:drawing>
          <wp:inline distT="0" distB="0" distL="0" distR="0">
            <wp:extent cx="3928269" cy="2301875"/>
            <wp:effectExtent l="19050" t="0" r="15081" b="3175"/>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008" w:rsidRPr="00BA4A7B" w:rsidRDefault="00D74008" w:rsidP="00D74008">
      <w:pPr>
        <w:jc w:val="center"/>
        <w:rPr>
          <w:i/>
        </w:rPr>
      </w:pPr>
      <w:r w:rsidRPr="00BA4A7B">
        <w:rPr>
          <w:i/>
        </w:rPr>
        <w:t xml:space="preserve">Рисунок </w:t>
      </w:r>
      <w:r w:rsidR="00415C26">
        <w:rPr>
          <w:i/>
        </w:rPr>
        <w:t>11</w:t>
      </w:r>
      <w:r w:rsidRPr="00BA4A7B">
        <w:rPr>
          <w:i/>
        </w:rPr>
        <w:t xml:space="preserve"> – Средн</w:t>
      </w:r>
      <w:r w:rsidR="001241F1">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торговой недвижимости по районам города, руб.</w:t>
      </w:r>
    </w:p>
    <w:p w:rsidR="00415C26" w:rsidRDefault="00415C26" w:rsidP="00415C26">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15C26" w:rsidRDefault="00415C26" w:rsidP="00415C26">
      <w:pPr>
        <w:ind w:firstLine="540"/>
        <w:jc w:val="both"/>
        <w:rPr>
          <w:spacing w:val="-6"/>
        </w:rPr>
      </w:pPr>
      <w:r>
        <w:rPr>
          <w:spacing w:val="-6"/>
        </w:rPr>
        <w:t>Долгосрочная динамика представлена на рисунках 12 и 13.</w:t>
      </w:r>
    </w:p>
    <w:p w:rsidR="00415C26" w:rsidRDefault="0076224F" w:rsidP="00415C26">
      <w:pPr>
        <w:ind w:firstLine="709"/>
        <w:jc w:val="center"/>
        <w:rPr>
          <w:spacing w:val="-6"/>
        </w:rPr>
      </w:pPr>
      <w:r w:rsidRPr="0076224F">
        <w:rPr>
          <w:noProof/>
          <w:spacing w:val="-6"/>
        </w:rPr>
        <w:drawing>
          <wp:inline distT="0" distB="0" distL="0" distR="0">
            <wp:extent cx="5514975" cy="1562100"/>
            <wp:effectExtent l="19050" t="0" r="9525" b="0"/>
            <wp:docPr id="2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5C26" w:rsidRPr="00C11E72" w:rsidRDefault="00415C26" w:rsidP="00415C26">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C02139" w:rsidRDefault="00C02139" w:rsidP="00415C26">
      <w:pPr>
        <w:ind w:firstLine="709"/>
        <w:jc w:val="both"/>
      </w:pP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м/мес. торговой недвижимости </w:t>
      </w:r>
      <w:r w:rsidR="00C640CB">
        <w:t>снизилась</w:t>
      </w:r>
      <w:r w:rsidRPr="003C4F54">
        <w:t xml:space="preserve"> на </w:t>
      </w:r>
      <w:r w:rsidR="0076224F">
        <w:t>6</w:t>
      </w:r>
      <w:r w:rsidR="00C640CB">
        <w:t>2</w:t>
      </w:r>
      <w:r w:rsidRPr="003C4F54">
        <w:t xml:space="preserve"> руб.</w:t>
      </w:r>
    </w:p>
    <w:p w:rsidR="00415C26" w:rsidRDefault="0076224F" w:rsidP="00C640CB">
      <w:pPr>
        <w:ind w:firstLine="709"/>
        <w:jc w:val="center"/>
        <w:rPr>
          <w:spacing w:val="-6"/>
        </w:rPr>
      </w:pPr>
      <w:r w:rsidRPr="0076224F">
        <w:rPr>
          <w:noProof/>
          <w:spacing w:val="-6"/>
        </w:rPr>
        <w:drawing>
          <wp:inline distT="0" distB="0" distL="0" distR="0">
            <wp:extent cx="5719082" cy="1567543"/>
            <wp:effectExtent l="19050" t="0" r="14968"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5C26" w:rsidRPr="00896418" w:rsidRDefault="00415C26" w:rsidP="00415C26">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415C26" w:rsidRDefault="00415C26" w:rsidP="00415C26">
      <w:pPr>
        <w:ind w:firstLine="709"/>
        <w:jc w:val="both"/>
      </w:pPr>
      <w:r>
        <w:t>З</w:t>
      </w:r>
      <w:r w:rsidRPr="003C4F54">
        <w:t>а исследуемый интервал времени (с 2009 г. по 201</w:t>
      </w:r>
      <w:r w:rsidR="0076224F">
        <w:t>9</w:t>
      </w:r>
      <w:r w:rsidRPr="003C4F54">
        <w:t xml:space="preserve"> г.) средняя цена предложений аренды 1 кв. м/ме</w:t>
      </w:r>
      <w:r w:rsidR="005F7133">
        <w:t xml:space="preserve">с. торговой недвижимости </w:t>
      </w:r>
      <w:r w:rsidR="0076224F">
        <w:t>увеличи</w:t>
      </w:r>
      <w:r w:rsidR="005F7133">
        <w:t>лась</w:t>
      </w:r>
      <w:r w:rsidRPr="003C4F54">
        <w:t xml:space="preserve"> на </w:t>
      </w:r>
      <w:r w:rsidR="0076224F">
        <w:t>11</w:t>
      </w:r>
      <w:r w:rsidRPr="003C4F54">
        <w:t>%.</w:t>
      </w:r>
    </w:p>
    <w:p w:rsidR="004D0175" w:rsidRDefault="00D74008" w:rsidP="00D74008">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415C26">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торговой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415C26">
        <w:rPr>
          <w:spacing w:val="-6"/>
        </w:rPr>
        <w:t>В качестве базиса (100%) используется средний показатель за 2009 год (579 руб./кв</w:t>
      </w:r>
      <w:proofErr w:type="gramStart"/>
      <w:r w:rsidR="00415C26">
        <w:rPr>
          <w:spacing w:val="-6"/>
        </w:rPr>
        <w:t>.м</w:t>
      </w:r>
      <w:proofErr w:type="gramEnd"/>
      <w:r w:rsidR="00415C26">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443D13" w:rsidRDefault="00443D13" w:rsidP="00D74008">
      <w:pPr>
        <w:ind w:firstLine="709"/>
        <w:jc w:val="both"/>
        <w:rPr>
          <w:spacing w:val="-6"/>
        </w:rPr>
      </w:pPr>
    </w:p>
    <w:tbl>
      <w:tblPr>
        <w:tblW w:w="5000" w:type="pct"/>
        <w:tblLook w:val="04A0"/>
      </w:tblPr>
      <w:tblGrid>
        <w:gridCol w:w="1709"/>
        <w:gridCol w:w="1228"/>
        <w:gridCol w:w="1143"/>
        <w:gridCol w:w="1228"/>
        <w:gridCol w:w="1122"/>
        <w:gridCol w:w="1253"/>
        <w:gridCol w:w="974"/>
        <w:gridCol w:w="1639"/>
      </w:tblGrid>
      <w:tr w:rsidR="001E1770" w:rsidRPr="001E1770" w:rsidTr="001E1770">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февраль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март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1E1770" w:rsidRPr="001E1770" w:rsidRDefault="001E1770" w:rsidP="001E1770">
            <w:pPr>
              <w:jc w:val="center"/>
              <w:rPr>
                <w:sz w:val="22"/>
                <w:szCs w:val="22"/>
              </w:rPr>
            </w:pPr>
            <w:r w:rsidRPr="001E1770">
              <w:rPr>
                <w:sz w:val="22"/>
                <w:szCs w:val="22"/>
              </w:rPr>
              <w:t>Диапазон цен</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E1770" w:rsidRPr="001E1770" w:rsidRDefault="001E1770" w:rsidP="001E1770">
            <w:pPr>
              <w:rPr>
                <w:sz w:val="22"/>
                <w:szCs w:val="22"/>
              </w:rPr>
            </w:pPr>
            <w:r w:rsidRPr="001E1770">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690</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685</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680</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672</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624</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546</w:t>
            </w:r>
          </w:p>
        </w:tc>
        <w:tc>
          <w:tcPr>
            <w:tcW w:w="865" w:type="pct"/>
            <w:tcBorders>
              <w:top w:val="nil"/>
              <w:left w:val="nil"/>
              <w:bottom w:val="single" w:sz="4" w:space="0" w:color="auto"/>
              <w:right w:val="single" w:sz="4" w:space="0" w:color="auto"/>
            </w:tcBorders>
            <w:shd w:val="clear" w:color="000000" w:fill="CCFFFF"/>
            <w:noWrap/>
            <w:vAlign w:val="center"/>
            <w:hideMark/>
          </w:tcPr>
          <w:p w:rsidR="001E1770" w:rsidRPr="001E1770" w:rsidRDefault="001E1770" w:rsidP="001E1770">
            <w:pPr>
              <w:jc w:val="center"/>
              <w:rPr>
                <w:sz w:val="22"/>
                <w:szCs w:val="22"/>
              </w:rPr>
            </w:pPr>
            <w:r w:rsidRPr="001E1770">
              <w:rPr>
                <w:sz w:val="22"/>
                <w:szCs w:val="22"/>
              </w:rPr>
              <w:t>260-1000</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E1770" w:rsidRPr="001E1770" w:rsidRDefault="001E1770" w:rsidP="001E1770">
            <w:pPr>
              <w:rPr>
                <w:sz w:val="22"/>
                <w:szCs w:val="22"/>
              </w:rPr>
            </w:pPr>
            <w:r w:rsidRPr="001E1770">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659</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665</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633</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632</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518</w:t>
            </w:r>
          </w:p>
        </w:tc>
        <w:tc>
          <w:tcPr>
            <w:tcW w:w="865" w:type="pct"/>
            <w:tcBorders>
              <w:top w:val="nil"/>
              <w:left w:val="nil"/>
              <w:bottom w:val="single" w:sz="4" w:space="0" w:color="auto"/>
              <w:right w:val="single" w:sz="4" w:space="0" w:color="auto"/>
            </w:tcBorders>
            <w:shd w:val="clear" w:color="000000" w:fill="CCFFFF"/>
            <w:noWrap/>
            <w:vAlign w:val="center"/>
            <w:hideMark/>
          </w:tcPr>
          <w:p w:rsidR="001E1770" w:rsidRPr="001E1770" w:rsidRDefault="001E1770" w:rsidP="001E1770">
            <w:pPr>
              <w:jc w:val="center"/>
              <w:rPr>
                <w:sz w:val="22"/>
                <w:szCs w:val="22"/>
              </w:rPr>
            </w:pPr>
            <w:r w:rsidRPr="001E1770">
              <w:rPr>
                <w:sz w:val="22"/>
                <w:szCs w:val="22"/>
              </w:rPr>
              <w:t>200-900</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E1770" w:rsidRPr="001E1770" w:rsidRDefault="001E1770" w:rsidP="001E1770">
            <w:pPr>
              <w:rPr>
                <w:sz w:val="22"/>
                <w:szCs w:val="22"/>
              </w:rPr>
            </w:pPr>
            <w:r w:rsidRPr="001E1770">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660</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728</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795</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827</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681</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884</w:t>
            </w:r>
          </w:p>
        </w:tc>
        <w:tc>
          <w:tcPr>
            <w:tcW w:w="865" w:type="pct"/>
            <w:tcBorders>
              <w:top w:val="nil"/>
              <w:left w:val="nil"/>
              <w:bottom w:val="single" w:sz="4" w:space="0" w:color="auto"/>
              <w:right w:val="single" w:sz="4" w:space="0" w:color="auto"/>
            </w:tcBorders>
            <w:shd w:val="clear" w:color="000000" w:fill="CCFFFF"/>
            <w:noWrap/>
            <w:vAlign w:val="center"/>
            <w:hideMark/>
          </w:tcPr>
          <w:p w:rsidR="001E1770" w:rsidRPr="001E1770" w:rsidRDefault="001E1770" w:rsidP="001E1770">
            <w:pPr>
              <w:jc w:val="center"/>
              <w:rPr>
                <w:sz w:val="22"/>
                <w:szCs w:val="22"/>
              </w:rPr>
            </w:pPr>
            <w:r w:rsidRPr="001E1770">
              <w:rPr>
                <w:sz w:val="22"/>
                <w:szCs w:val="22"/>
              </w:rPr>
              <w:t>300-2450</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1E1770" w:rsidRPr="001E1770" w:rsidRDefault="001E1770" w:rsidP="001E1770">
            <w:pPr>
              <w:rPr>
                <w:sz w:val="22"/>
                <w:szCs w:val="22"/>
              </w:rPr>
            </w:pPr>
            <w:r w:rsidRPr="001E1770">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544</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472</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400</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469</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464</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sz w:val="22"/>
                <w:szCs w:val="22"/>
              </w:rPr>
            </w:pPr>
            <w:r w:rsidRPr="001E1770">
              <w:rPr>
                <w:sz w:val="22"/>
                <w:szCs w:val="22"/>
              </w:rPr>
              <w:t>488</w:t>
            </w:r>
          </w:p>
        </w:tc>
        <w:tc>
          <w:tcPr>
            <w:tcW w:w="865" w:type="pct"/>
            <w:tcBorders>
              <w:top w:val="nil"/>
              <w:left w:val="nil"/>
              <w:bottom w:val="single" w:sz="4" w:space="0" w:color="auto"/>
              <w:right w:val="single" w:sz="4" w:space="0" w:color="auto"/>
            </w:tcBorders>
            <w:shd w:val="clear" w:color="000000" w:fill="CCFFFF"/>
            <w:noWrap/>
            <w:vAlign w:val="center"/>
            <w:hideMark/>
          </w:tcPr>
          <w:p w:rsidR="001E1770" w:rsidRPr="001E1770" w:rsidRDefault="001E1770" w:rsidP="001E1770">
            <w:pPr>
              <w:jc w:val="center"/>
              <w:rPr>
                <w:sz w:val="22"/>
                <w:szCs w:val="22"/>
              </w:rPr>
            </w:pPr>
            <w:r w:rsidRPr="001E1770">
              <w:rPr>
                <w:sz w:val="22"/>
                <w:szCs w:val="22"/>
              </w:rPr>
              <w:t>267-720</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E1770" w:rsidRPr="001E1770" w:rsidRDefault="001E1770" w:rsidP="001E1770">
            <w:pPr>
              <w:rPr>
                <w:sz w:val="22"/>
                <w:szCs w:val="22"/>
              </w:rPr>
            </w:pPr>
            <w:r w:rsidRPr="001E1770">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662</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689</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715</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691</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614</w:t>
            </w:r>
          </w:p>
        </w:tc>
        <w:tc>
          <w:tcPr>
            <w:tcW w:w="540" w:type="pct"/>
            <w:tcBorders>
              <w:top w:val="nil"/>
              <w:left w:val="nil"/>
              <w:bottom w:val="single" w:sz="4" w:space="0" w:color="auto"/>
              <w:right w:val="single" w:sz="4" w:space="0" w:color="auto"/>
            </w:tcBorders>
            <w:shd w:val="clear" w:color="auto" w:fill="auto"/>
            <w:noWrap/>
            <w:vAlign w:val="center"/>
            <w:hideMark/>
          </w:tcPr>
          <w:p w:rsidR="001E1770" w:rsidRPr="001E1770" w:rsidRDefault="001E1770" w:rsidP="001E1770">
            <w:pPr>
              <w:jc w:val="center"/>
              <w:rPr>
                <w:b/>
                <w:bCs/>
                <w:sz w:val="22"/>
                <w:szCs w:val="22"/>
              </w:rPr>
            </w:pPr>
            <w:r w:rsidRPr="001E1770">
              <w:rPr>
                <w:b/>
                <w:bCs/>
                <w:sz w:val="22"/>
                <w:szCs w:val="22"/>
              </w:rPr>
              <w:t>633</w:t>
            </w:r>
          </w:p>
        </w:tc>
        <w:tc>
          <w:tcPr>
            <w:tcW w:w="865" w:type="pct"/>
            <w:tcBorders>
              <w:top w:val="nil"/>
              <w:left w:val="nil"/>
              <w:bottom w:val="single" w:sz="4" w:space="0" w:color="auto"/>
              <w:right w:val="single" w:sz="4" w:space="0" w:color="auto"/>
            </w:tcBorders>
            <w:shd w:val="clear" w:color="000000" w:fill="CCFFFF"/>
            <w:vAlign w:val="center"/>
            <w:hideMark/>
          </w:tcPr>
          <w:p w:rsidR="001E1770" w:rsidRPr="001E1770" w:rsidRDefault="001E1770" w:rsidP="001E1770">
            <w:pPr>
              <w:jc w:val="center"/>
              <w:rPr>
                <w:sz w:val="22"/>
                <w:szCs w:val="22"/>
              </w:rPr>
            </w:pPr>
            <w:r w:rsidRPr="001E1770">
              <w:rPr>
                <w:sz w:val="22"/>
                <w:szCs w:val="22"/>
              </w:rPr>
              <w:t>200-2450</w:t>
            </w:r>
          </w:p>
        </w:tc>
      </w:tr>
      <w:tr w:rsidR="001E1770" w:rsidRPr="001E1770" w:rsidTr="001E1770">
        <w:trPr>
          <w:trHeight w:val="20"/>
        </w:trPr>
        <w:tc>
          <w:tcPr>
            <w:tcW w:w="897" w:type="pct"/>
            <w:tcBorders>
              <w:top w:val="nil"/>
              <w:left w:val="single" w:sz="4" w:space="0" w:color="auto"/>
              <w:bottom w:val="single" w:sz="4" w:space="0" w:color="auto"/>
              <w:right w:val="single" w:sz="4" w:space="0" w:color="auto"/>
            </w:tcBorders>
            <w:shd w:val="clear" w:color="000000" w:fill="FFFF99"/>
            <w:vAlign w:val="center"/>
            <w:hideMark/>
          </w:tcPr>
          <w:p w:rsidR="001E1770" w:rsidRPr="001E1770" w:rsidRDefault="001E1770" w:rsidP="001E1770">
            <w:pPr>
              <w:rPr>
                <w:sz w:val="22"/>
                <w:szCs w:val="22"/>
              </w:rPr>
            </w:pPr>
            <w:r w:rsidRPr="001E1770">
              <w:rPr>
                <w:sz w:val="22"/>
                <w:szCs w:val="22"/>
              </w:rPr>
              <w:t>Изменение</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114%</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119%</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124%</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119%</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106%</w:t>
            </w:r>
          </w:p>
        </w:tc>
        <w:tc>
          <w:tcPr>
            <w:tcW w:w="540" w:type="pct"/>
            <w:tcBorders>
              <w:top w:val="nil"/>
              <w:left w:val="nil"/>
              <w:bottom w:val="single" w:sz="4" w:space="0" w:color="auto"/>
              <w:right w:val="single" w:sz="4" w:space="0" w:color="auto"/>
            </w:tcBorders>
            <w:shd w:val="clear" w:color="000000" w:fill="FFFF99"/>
            <w:vAlign w:val="center"/>
            <w:hideMark/>
          </w:tcPr>
          <w:p w:rsidR="001E1770" w:rsidRPr="001E1770" w:rsidRDefault="001E1770" w:rsidP="001E1770">
            <w:pPr>
              <w:jc w:val="center"/>
              <w:rPr>
                <w:b/>
                <w:bCs/>
                <w:sz w:val="22"/>
                <w:szCs w:val="22"/>
              </w:rPr>
            </w:pPr>
            <w:r w:rsidRPr="001E1770">
              <w:rPr>
                <w:b/>
                <w:bCs/>
                <w:sz w:val="22"/>
                <w:szCs w:val="22"/>
              </w:rPr>
              <w:t>109%</w:t>
            </w:r>
          </w:p>
        </w:tc>
        <w:tc>
          <w:tcPr>
            <w:tcW w:w="865" w:type="pct"/>
            <w:tcBorders>
              <w:top w:val="nil"/>
              <w:left w:val="nil"/>
              <w:bottom w:val="single" w:sz="4" w:space="0" w:color="auto"/>
              <w:right w:val="single" w:sz="4" w:space="0" w:color="auto"/>
            </w:tcBorders>
            <w:shd w:val="clear" w:color="000000" w:fill="CCFFCC"/>
            <w:vAlign w:val="center"/>
            <w:hideMark/>
          </w:tcPr>
          <w:p w:rsidR="001E1770" w:rsidRPr="001E1770" w:rsidRDefault="001E1770" w:rsidP="001E1770">
            <w:pPr>
              <w:jc w:val="center"/>
              <w:rPr>
                <w:b/>
                <w:bCs/>
                <w:sz w:val="22"/>
                <w:szCs w:val="22"/>
              </w:rPr>
            </w:pPr>
            <w:r w:rsidRPr="001E1770">
              <w:rPr>
                <w:b/>
                <w:bCs/>
                <w:sz w:val="22"/>
                <w:szCs w:val="22"/>
              </w:rPr>
              <w:t>-</w:t>
            </w:r>
          </w:p>
        </w:tc>
      </w:tr>
    </w:tbl>
    <w:p w:rsidR="006E1540" w:rsidRDefault="006E1540" w:rsidP="000F4134">
      <w:pPr>
        <w:jc w:val="both"/>
        <w:rPr>
          <w:spacing w:val="-6"/>
        </w:rPr>
      </w:pPr>
    </w:p>
    <w:p w:rsidR="00D74008" w:rsidRPr="003C4F54" w:rsidRDefault="00D74008" w:rsidP="00D74008">
      <w:pPr>
        <w:pStyle w:val="aa"/>
        <w:jc w:val="center"/>
        <w:rPr>
          <w:b w:val="0"/>
          <w:i/>
          <w:spacing w:val="-6"/>
          <w:sz w:val="24"/>
          <w:szCs w:val="24"/>
        </w:rPr>
      </w:pPr>
      <w:r w:rsidRPr="003C4F54">
        <w:rPr>
          <w:b w:val="0"/>
          <w:i/>
          <w:sz w:val="24"/>
          <w:szCs w:val="24"/>
        </w:rPr>
        <w:t xml:space="preserve">Таблица </w:t>
      </w:r>
      <w:r w:rsidR="00671BD2" w:rsidRPr="003C4F54">
        <w:rPr>
          <w:b w:val="0"/>
          <w:i/>
          <w:sz w:val="24"/>
          <w:szCs w:val="24"/>
        </w:rPr>
        <w:fldChar w:fldCharType="begin"/>
      </w:r>
      <w:r w:rsidRPr="003C4F54">
        <w:rPr>
          <w:b w:val="0"/>
          <w:i/>
          <w:sz w:val="24"/>
          <w:szCs w:val="24"/>
        </w:rPr>
        <w:instrText xml:space="preserve"> SEQ Таблица \* ARABIC </w:instrText>
      </w:r>
      <w:r w:rsidR="00671BD2" w:rsidRPr="003C4F54">
        <w:rPr>
          <w:b w:val="0"/>
          <w:i/>
          <w:sz w:val="24"/>
          <w:szCs w:val="24"/>
        </w:rPr>
        <w:fldChar w:fldCharType="separate"/>
      </w:r>
      <w:r w:rsidR="00740491">
        <w:rPr>
          <w:b w:val="0"/>
          <w:i/>
          <w:noProof/>
          <w:sz w:val="24"/>
          <w:szCs w:val="24"/>
        </w:rPr>
        <w:t>2</w:t>
      </w:r>
      <w:r w:rsidR="00671BD2" w:rsidRPr="003C4F54">
        <w:rPr>
          <w:b w:val="0"/>
          <w:i/>
          <w:sz w:val="24"/>
          <w:szCs w:val="24"/>
        </w:rPr>
        <w:fldChar w:fldCharType="end"/>
      </w:r>
      <w:r w:rsidRPr="003C4F54">
        <w:rPr>
          <w:b w:val="0"/>
          <w:i/>
          <w:sz w:val="24"/>
          <w:szCs w:val="24"/>
        </w:rPr>
        <w:t xml:space="preserve"> – </w:t>
      </w:r>
      <w:r w:rsidR="00415C26">
        <w:rPr>
          <w:b w:val="0"/>
          <w:i/>
          <w:sz w:val="24"/>
          <w:szCs w:val="24"/>
        </w:rPr>
        <w:t>Краткосрочная д</w:t>
      </w:r>
      <w:r w:rsidRPr="003C4F54">
        <w:rPr>
          <w:b w:val="0"/>
          <w:i/>
          <w:sz w:val="24"/>
          <w:szCs w:val="24"/>
        </w:rPr>
        <w:t xml:space="preserve">инамика </w:t>
      </w:r>
      <w:r w:rsidR="001241F1" w:rsidRPr="003C4F54">
        <w:rPr>
          <w:b w:val="0"/>
          <w:i/>
          <w:sz w:val="24"/>
          <w:szCs w:val="24"/>
        </w:rPr>
        <w:t xml:space="preserve">средних </w:t>
      </w:r>
      <w:r w:rsidRPr="003C4F54">
        <w:rPr>
          <w:b w:val="0"/>
          <w:i/>
          <w:spacing w:val="-6"/>
          <w:sz w:val="24"/>
          <w:szCs w:val="24"/>
        </w:rPr>
        <w:t>цен предложений аренды</w:t>
      </w:r>
      <w:r w:rsidRPr="003C4F54">
        <w:rPr>
          <w:b w:val="0"/>
          <w:i/>
          <w:sz w:val="24"/>
          <w:szCs w:val="24"/>
        </w:rPr>
        <w:t xml:space="preserve"> торговой недвижимости</w:t>
      </w:r>
      <w:r w:rsidR="007471E7">
        <w:rPr>
          <w:b w:val="0"/>
          <w:i/>
          <w:sz w:val="24"/>
          <w:szCs w:val="24"/>
        </w:rPr>
        <w:t>, руб./кв</w:t>
      </w:r>
      <w:proofErr w:type="gramStart"/>
      <w:r w:rsidR="007471E7">
        <w:rPr>
          <w:b w:val="0"/>
          <w:i/>
          <w:sz w:val="24"/>
          <w:szCs w:val="24"/>
        </w:rPr>
        <w:t>.м</w:t>
      </w:r>
      <w:proofErr w:type="gramEnd"/>
    </w:p>
    <w:p w:rsidR="00D74008" w:rsidRDefault="00D74008" w:rsidP="00D74008">
      <w:pPr>
        <w:ind w:firstLine="709"/>
        <w:jc w:val="both"/>
      </w:pPr>
      <w:r w:rsidRPr="003C4F54">
        <w:t xml:space="preserve">Таблица 2 свидетельствует о том, что на рынке аренды торговой недвижимости наибольшие значения цен предложений аренды зафиксированы в </w:t>
      </w:r>
      <w:r w:rsidR="0076224F">
        <w:rPr>
          <w:spacing w:val="-8"/>
        </w:rPr>
        <w:t>Центре</w:t>
      </w:r>
      <w:r w:rsidRPr="003C4F54">
        <w:t xml:space="preserve">, а наименьшие – в </w:t>
      </w:r>
      <w:r w:rsidR="00CF7FDC">
        <w:t>Других районах</w:t>
      </w:r>
      <w:r w:rsidRPr="003C4F54">
        <w:t>.</w:t>
      </w:r>
    </w:p>
    <w:p w:rsidR="00B56402" w:rsidRDefault="00415C26" w:rsidP="008B269C">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руб., в графическом виде представлена на</w:t>
      </w:r>
      <w:r w:rsidR="00D74008" w:rsidRPr="00050A6E">
        <w:t xml:space="preserve"> </w:t>
      </w:r>
      <w:r w:rsidR="00D74008">
        <w:t>рисунке 1</w:t>
      </w:r>
      <w:r w:rsidR="00160B53">
        <w:t>4</w:t>
      </w:r>
      <w:r w:rsidR="00D74008">
        <w:t>.</w:t>
      </w:r>
    </w:p>
    <w:p w:rsidR="00D74008" w:rsidRPr="00415C26" w:rsidRDefault="001E1770" w:rsidP="00D74008">
      <w:pPr>
        <w:ind w:firstLine="540"/>
        <w:jc w:val="center"/>
      </w:pPr>
      <w:r w:rsidRPr="001E1770">
        <w:lastRenderedPageBreak/>
        <w:drawing>
          <wp:inline distT="0" distB="0" distL="0" distR="0">
            <wp:extent cx="5990036" cy="2301875"/>
            <wp:effectExtent l="19050" t="0" r="10714" b="3175"/>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402" w:rsidRPr="006E3113" w:rsidRDefault="00D74008" w:rsidP="006E3113">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160B53">
        <w:rPr>
          <w:b w:val="0"/>
          <w:i/>
          <w:sz w:val="24"/>
          <w:szCs w:val="24"/>
        </w:rPr>
        <w:t>4</w:t>
      </w:r>
      <w:r w:rsidRPr="0066391A">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руб.</w:t>
      </w:r>
    </w:p>
    <w:p w:rsidR="00D74008" w:rsidRDefault="00415C26" w:rsidP="00D74008">
      <w:pPr>
        <w:ind w:firstLine="709"/>
        <w:jc w:val="both"/>
      </w:pPr>
      <w:r>
        <w:t>Краткосрочная д</w:t>
      </w:r>
      <w:r w:rsidR="00D74008" w:rsidRPr="00050A6E">
        <w:t>инамик</w:t>
      </w:r>
      <w:r w:rsidR="00D74008">
        <w:t>а</w:t>
      </w:r>
      <w:r w:rsidR="00D74008" w:rsidRPr="00050A6E">
        <w:t xml:space="preserve"> </w:t>
      </w:r>
      <w:r w:rsidR="00D74008">
        <w:t>средней цены предложений аренды</w:t>
      </w:r>
      <w:r w:rsidR="00D74008" w:rsidRPr="00050A6E">
        <w:t xml:space="preserve"> </w:t>
      </w:r>
      <w:r w:rsidR="00D74008">
        <w:t>торговой</w:t>
      </w:r>
      <w:r w:rsidR="00D74008" w:rsidRPr="00050A6E">
        <w:t xml:space="preserve"> недвижимости</w:t>
      </w:r>
      <w:r w:rsidR="00D74008">
        <w:t>, выраженная в процентах, в графическом виде представлена на</w:t>
      </w:r>
      <w:r w:rsidR="00D74008" w:rsidRPr="00050A6E">
        <w:t xml:space="preserve"> </w:t>
      </w:r>
      <w:r w:rsidR="00D74008">
        <w:t>рисунке</w:t>
      </w:r>
      <w:r w:rsidR="00D74008" w:rsidRPr="00B03E52">
        <w:t xml:space="preserve"> </w:t>
      </w:r>
      <w:r w:rsidR="00D74008">
        <w:t>1</w:t>
      </w:r>
      <w:r w:rsidR="00160B53">
        <w:t>5</w:t>
      </w:r>
      <w:r w:rsidR="00D74008" w:rsidRPr="00B03E52">
        <w:t>.</w:t>
      </w:r>
    </w:p>
    <w:p w:rsidR="00D74008" w:rsidRPr="00415C26" w:rsidRDefault="001E1770" w:rsidP="00D74008">
      <w:pPr>
        <w:ind w:firstLine="540"/>
        <w:jc w:val="center"/>
      </w:pPr>
      <w:r w:rsidRPr="001E1770">
        <w:drawing>
          <wp:inline distT="0" distB="0" distL="0" distR="0">
            <wp:extent cx="6015434" cy="2301875"/>
            <wp:effectExtent l="19050" t="0" r="23416" b="3175"/>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4008" w:rsidRPr="008B269C" w:rsidRDefault="00D74008" w:rsidP="008B269C">
      <w:pPr>
        <w:pStyle w:val="aa"/>
        <w:jc w:val="center"/>
        <w:rPr>
          <w:b w:val="0"/>
          <w:i/>
          <w:sz w:val="24"/>
          <w:szCs w:val="24"/>
        </w:rPr>
      </w:pPr>
      <w:r w:rsidRPr="00896418">
        <w:rPr>
          <w:b w:val="0"/>
          <w:i/>
          <w:sz w:val="24"/>
          <w:szCs w:val="24"/>
        </w:rPr>
        <w:t xml:space="preserve">Рисунок </w:t>
      </w:r>
      <w:r>
        <w:rPr>
          <w:b w:val="0"/>
          <w:i/>
          <w:sz w:val="24"/>
          <w:szCs w:val="24"/>
        </w:rPr>
        <w:t>1</w:t>
      </w:r>
      <w:r w:rsidR="00160B53">
        <w:rPr>
          <w:b w:val="0"/>
          <w:i/>
          <w:sz w:val="24"/>
          <w:szCs w:val="24"/>
        </w:rPr>
        <w:t>5</w:t>
      </w:r>
      <w:r w:rsidRPr="00896418">
        <w:rPr>
          <w:b w:val="0"/>
          <w:i/>
          <w:sz w:val="24"/>
          <w:szCs w:val="24"/>
        </w:rPr>
        <w:t xml:space="preserve"> – </w:t>
      </w:r>
      <w:r w:rsidR="00415C2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торговой</w:t>
      </w:r>
      <w:r w:rsidRPr="00C11E72">
        <w:rPr>
          <w:b w:val="0"/>
          <w:i/>
          <w:sz w:val="24"/>
          <w:szCs w:val="24"/>
        </w:rPr>
        <w:t xml:space="preserve"> недвижимости в </w:t>
      </w:r>
      <w:r>
        <w:rPr>
          <w:b w:val="0"/>
          <w:i/>
          <w:sz w:val="24"/>
          <w:szCs w:val="24"/>
        </w:rPr>
        <w:t>%</w:t>
      </w:r>
    </w:p>
    <w:p w:rsidR="00F41BC8" w:rsidRPr="00386637" w:rsidRDefault="00F41BC8" w:rsidP="00F41BC8">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w:t>
      </w:r>
      <w:r w:rsidR="00AE3873">
        <w:t>5,3</w:t>
      </w:r>
      <w:r>
        <w:t xml:space="preserve"> – </w:t>
      </w:r>
      <w:r w:rsidR="0057601B">
        <w:t>2</w:t>
      </w:r>
      <w:r w:rsidR="00AE3873">
        <w:t>7,2</w:t>
      </w:r>
      <w:r w:rsidRPr="00140416">
        <w:t>%</w:t>
      </w:r>
      <w:r>
        <w:t xml:space="preserve"> при продаже и </w:t>
      </w:r>
      <w:r w:rsidR="00AE3873">
        <w:t>4,5</w:t>
      </w:r>
      <w:r>
        <w:t xml:space="preserve"> – </w:t>
      </w:r>
      <w:r w:rsidR="00AE3873">
        <w:t>23,7</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57601B">
        <w:t>30</w:t>
      </w:r>
      <w:r w:rsidRPr="002F4157">
        <w:t>%.</w:t>
      </w:r>
      <w:proofErr w:type="gramEnd"/>
    </w:p>
    <w:p w:rsidR="00E655C8" w:rsidRDefault="00E655C8" w:rsidP="00D74008">
      <w:pPr>
        <w:jc w:val="both"/>
        <w:rPr>
          <w:i/>
        </w:rPr>
      </w:pPr>
    </w:p>
    <w:p w:rsidR="00D74008" w:rsidRDefault="00D74008" w:rsidP="00D74008">
      <w:pPr>
        <w:jc w:val="both"/>
        <w:rPr>
          <w:i/>
        </w:rPr>
      </w:pPr>
      <w:r>
        <w:rPr>
          <w:i/>
        </w:rPr>
        <w:t>Источники данных:</w:t>
      </w:r>
    </w:p>
    <w:p w:rsidR="00D74008" w:rsidRDefault="00D74008" w:rsidP="00D74008">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D74008" w:rsidRPr="00F06982" w:rsidRDefault="00D74008" w:rsidP="00D74008">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D74008" w:rsidRDefault="00D74008" w:rsidP="00D74008">
      <w:pPr>
        <w:rPr>
          <w:i/>
        </w:rPr>
      </w:pPr>
    </w:p>
    <w:tbl>
      <w:tblPr>
        <w:tblW w:w="5000" w:type="pct"/>
        <w:tblLook w:val="01E0"/>
      </w:tblPr>
      <w:tblGrid>
        <w:gridCol w:w="5920"/>
        <w:gridCol w:w="4376"/>
      </w:tblGrid>
      <w:tr w:rsidR="006F694C" w:rsidRPr="00277019" w:rsidTr="00954EF3">
        <w:tc>
          <w:tcPr>
            <w:tcW w:w="2875" w:type="pct"/>
            <w:vAlign w:val="center"/>
          </w:tcPr>
          <w:p w:rsidR="006F694C" w:rsidRPr="00277019" w:rsidRDefault="006F694C" w:rsidP="00954EF3">
            <w:pPr>
              <w:rPr>
                <w:i/>
              </w:rPr>
            </w:pPr>
            <w:r w:rsidRPr="00277019">
              <w:rPr>
                <w:i/>
              </w:rPr>
              <w:t>Исполнитель:</w:t>
            </w:r>
          </w:p>
        </w:tc>
        <w:tc>
          <w:tcPr>
            <w:tcW w:w="2125" w:type="pct"/>
            <w:vAlign w:val="center"/>
          </w:tcPr>
          <w:p w:rsidR="006F694C" w:rsidRPr="00277019" w:rsidRDefault="006F694C" w:rsidP="00954EF3">
            <w:pPr>
              <w:rPr>
                <w:i/>
              </w:rPr>
            </w:pPr>
            <w:proofErr w:type="spellStart"/>
            <w:r>
              <w:rPr>
                <w:i/>
              </w:rPr>
              <w:t>Валиуллин</w:t>
            </w:r>
            <w:proofErr w:type="spellEnd"/>
            <w:r>
              <w:rPr>
                <w:i/>
              </w:rPr>
              <w:t xml:space="preserve"> </w:t>
            </w:r>
            <w:proofErr w:type="spellStart"/>
            <w:r>
              <w:rPr>
                <w:i/>
              </w:rPr>
              <w:t>Айрат</w:t>
            </w:r>
            <w:proofErr w:type="spellEnd"/>
          </w:p>
        </w:tc>
      </w:tr>
    </w:tbl>
    <w:p w:rsidR="0018271E" w:rsidRDefault="00D74008" w:rsidP="00D74008">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B267D4">
        <w:rPr>
          <w:i/>
        </w:rPr>
        <w:t xml:space="preserve">.: </w:t>
      </w:r>
      <w:r w:rsidR="00A56599">
        <w:rPr>
          <w:i/>
        </w:rPr>
        <w:t>(8652) 56-55-33; 8-962-442-33-65</w:t>
      </w:r>
    </w:p>
    <w:sectPr w:rsidR="0018271E"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14" w:rsidRDefault="00723814">
      <w:r>
        <w:separator/>
      </w:r>
    </w:p>
  </w:endnote>
  <w:endnote w:type="continuationSeparator" w:id="0">
    <w:p w:rsidR="00723814" w:rsidRDefault="0072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671BD2"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671BD2" w:rsidRPr="00862393">
      <w:rPr>
        <w:i/>
      </w:rPr>
      <w:fldChar w:fldCharType="begin"/>
    </w:r>
    <w:r w:rsidRPr="00862393">
      <w:rPr>
        <w:i/>
      </w:rPr>
      <w:instrText xml:space="preserve"> PAGE </w:instrText>
    </w:r>
    <w:r w:rsidR="00671BD2" w:rsidRPr="00862393">
      <w:rPr>
        <w:i/>
      </w:rPr>
      <w:fldChar w:fldCharType="separate"/>
    </w:r>
    <w:r w:rsidR="001E1770">
      <w:rPr>
        <w:i/>
        <w:noProof/>
      </w:rPr>
      <w:t>8</w:t>
    </w:r>
    <w:r w:rsidR="00671BD2" w:rsidRPr="00862393">
      <w:rPr>
        <w:i/>
      </w:rPr>
      <w:fldChar w:fldCharType="end"/>
    </w:r>
    <w:r w:rsidRPr="00862393">
      <w:rPr>
        <w:i/>
      </w:rPr>
      <w:t xml:space="preserve"> из </w:t>
    </w:r>
    <w:r w:rsidR="00671BD2" w:rsidRPr="00862393">
      <w:rPr>
        <w:i/>
      </w:rPr>
      <w:fldChar w:fldCharType="begin"/>
    </w:r>
    <w:r w:rsidRPr="00862393">
      <w:rPr>
        <w:i/>
      </w:rPr>
      <w:instrText xml:space="preserve"> NUMPAGES </w:instrText>
    </w:r>
    <w:r w:rsidR="00671BD2" w:rsidRPr="00862393">
      <w:rPr>
        <w:i/>
      </w:rPr>
      <w:fldChar w:fldCharType="separate"/>
    </w:r>
    <w:r w:rsidR="001E1770">
      <w:rPr>
        <w:i/>
        <w:noProof/>
      </w:rPr>
      <w:t>8</w:t>
    </w:r>
    <w:r w:rsidR="00671BD2"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671BD2" w:rsidRPr="00862393">
      <w:rPr>
        <w:i/>
      </w:rPr>
      <w:fldChar w:fldCharType="begin"/>
    </w:r>
    <w:r w:rsidRPr="00862393">
      <w:rPr>
        <w:i/>
      </w:rPr>
      <w:instrText xml:space="preserve"> PAGE </w:instrText>
    </w:r>
    <w:r w:rsidR="00671BD2" w:rsidRPr="00862393">
      <w:rPr>
        <w:i/>
      </w:rPr>
      <w:fldChar w:fldCharType="separate"/>
    </w:r>
    <w:r w:rsidR="00D109E1">
      <w:rPr>
        <w:i/>
        <w:noProof/>
      </w:rPr>
      <w:t>1</w:t>
    </w:r>
    <w:r w:rsidR="00671BD2" w:rsidRPr="00862393">
      <w:rPr>
        <w:i/>
      </w:rPr>
      <w:fldChar w:fldCharType="end"/>
    </w:r>
    <w:r w:rsidRPr="00862393">
      <w:rPr>
        <w:i/>
      </w:rPr>
      <w:t xml:space="preserve"> из </w:t>
    </w:r>
    <w:r w:rsidR="00671BD2" w:rsidRPr="00862393">
      <w:rPr>
        <w:i/>
      </w:rPr>
      <w:fldChar w:fldCharType="begin"/>
    </w:r>
    <w:r w:rsidRPr="00862393">
      <w:rPr>
        <w:i/>
      </w:rPr>
      <w:instrText xml:space="preserve"> NUMPAGES </w:instrText>
    </w:r>
    <w:r w:rsidR="00671BD2" w:rsidRPr="00862393">
      <w:rPr>
        <w:i/>
      </w:rPr>
      <w:fldChar w:fldCharType="separate"/>
    </w:r>
    <w:r w:rsidR="00D109E1">
      <w:rPr>
        <w:i/>
        <w:noProof/>
      </w:rPr>
      <w:t>8</w:t>
    </w:r>
    <w:r w:rsidR="00671BD2"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14" w:rsidRDefault="00723814">
      <w:r>
        <w:separator/>
      </w:r>
    </w:p>
  </w:footnote>
  <w:footnote w:type="continuationSeparator" w:id="0">
    <w:p w:rsidR="00723814" w:rsidRDefault="00723814">
      <w:r>
        <w:continuationSeparator/>
      </w:r>
    </w:p>
  </w:footnote>
  <w:footnote w:id="1">
    <w:p w:rsidR="00D74008" w:rsidRDefault="00D74008" w:rsidP="00D74008">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B56402" w:rsidRPr="002E4327" w:rsidRDefault="00B56402" w:rsidP="00B56402">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1241F1" w:rsidRDefault="001241F1" w:rsidP="001241F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F41BC8" w:rsidRPr="00092354" w:rsidRDefault="00F41BC8" w:rsidP="00F41BC8">
      <w:pPr>
        <w:pStyle w:val="a4"/>
        <w:jc w:val="both"/>
        <w:rPr>
          <w:i/>
        </w:rPr>
      </w:pPr>
      <w:r w:rsidRPr="00092354">
        <w:rPr>
          <w:rStyle w:val="a6"/>
          <w:i/>
        </w:rPr>
        <w:t>*</w:t>
      </w:r>
      <w:r w:rsidRPr="00092354">
        <w:rPr>
          <w:i/>
        </w:rPr>
        <w:t xml:space="preserve"> </w:t>
      </w:r>
      <w:proofErr w:type="spellStart"/>
      <w:r w:rsidR="00AE3873" w:rsidRPr="00092354">
        <w:rPr>
          <w:i/>
        </w:rPr>
        <w:t>Лейфер</w:t>
      </w:r>
      <w:proofErr w:type="spellEnd"/>
      <w:r w:rsidR="00AE3873">
        <w:rPr>
          <w:i/>
        </w:rPr>
        <w:t>,</w:t>
      </w:r>
      <w:r w:rsidR="00AE3873" w:rsidRPr="00092354">
        <w:rPr>
          <w:i/>
        </w:rPr>
        <w:t xml:space="preserve"> Л.</w:t>
      </w:r>
      <w:r w:rsidR="00AE3873">
        <w:rPr>
          <w:i/>
        </w:rPr>
        <w:t> </w:t>
      </w:r>
      <w:r w:rsidR="00AE3873" w:rsidRPr="00092354">
        <w:rPr>
          <w:i/>
        </w:rPr>
        <w:t xml:space="preserve">А. </w:t>
      </w:r>
      <w:r w:rsidR="00AE3873">
        <w:rPr>
          <w:i/>
        </w:rPr>
        <w:t>Справочник оценщика недвижимости - 2016. Издание четвертое /</w:t>
      </w:r>
      <w:r w:rsidR="00AE3873" w:rsidRPr="00092354">
        <w:rPr>
          <w:i/>
        </w:rPr>
        <w:t xml:space="preserve"> Л.</w:t>
      </w:r>
      <w:r w:rsidR="00AE3873">
        <w:rPr>
          <w:i/>
        </w:rPr>
        <w:t> </w:t>
      </w:r>
      <w:r w:rsidR="00AE3873" w:rsidRPr="00092354">
        <w:rPr>
          <w:i/>
        </w:rPr>
        <w:t>А.</w:t>
      </w:r>
      <w:r w:rsidR="00AE3873">
        <w:rPr>
          <w:i/>
        </w:rPr>
        <w:t> </w:t>
      </w:r>
      <w:proofErr w:type="spellStart"/>
      <w:r w:rsidR="00AE3873" w:rsidRPr="00092354">
        <w:rPr>
          <w:i/>
        </w:rPr>
        <w:t>Лейфер</w:t>
      </w:r>
      <w:proofErr w:type="spellEnd"/>
      <w:r w:rsidR="00AE3873">
        <w:rPr>
          <w:i/>
        </w:rPr>
        <w:t>, Т. В. </w:t>
      </w:r>
      <w:proofErr w:type="spellStart"/>
      <w:r w:rsidR="00AE3873">
        <w:rPr>
          <w:i/>
        </w:rPr>
        <w:t>Крайникова</w:t>
      </w:r>
      <w:proofErr w:type="spellEnd"/>
      <w:r w:rsidR="00AE3873">
        <w:rPr>
          <w:i/>
        </w:rPr>
        <w:t xml:space="preserve">. - </w:t>
      </w:r>
      <w:r w:rsidR="00AE3873" w:rsidRPr="00092354">
        <w:rPr>
          <w:i/>
        </w:rPr>
        <w:t>г. Нижний Новгород</w:t>
      </w:r>
      <w:proofErr w:type="gramStart"/>
      <w:r w:rsidR="00AE3873">
        <w:rPr>
          <w:i/>
        </w:rPr>
        <w:t xml:space="preserve"> :</w:t>
      </w:r>
      <w:proofErr w:type="gramEnd"/>
      <w:r w:rsidR="00AE3873">
        <w:rPr>
          <w:i/>
        </w:rPr>
        <w:t xml:space="preserve"> </w:t>
      </w:r>
      <w:r w:rsidR="00AE3873" w:rsidRPr="00092354">
        <w:rPr>
          <w:i/>
        </w:rPr>
        <w:t xml:space="preserve">Приволжский центр </w:t>
      </w:r>
      <w:r w:rsidR="00AE3873">
        <w:rPr>
          <w:i/>
        </w:rPr>
        <w:t>методического и информационного обеспечения</w:t>
      </w:r>
      <w:r w:rsidR="00AE3873" w:rsidRPr="00092354">
        <w:rPr>
          <w:i/>
        </w:rPr>
        <w:t xml:space="preserve"> оценки</w:t>
      </w:r>
      <w:r w:rsidR="00AE3873">
        <w:rPr>
          <w:i/>
        </w:rPr>
        <w:t xml:space="preserve">, </w:t>
      </w:r>
      <w:r w:rsidR="00AE3873" w:rsidRPr="00092354">
        <w:rPr>
          <w:i/>
        </w:rPr>
        <w:t>201</w:t>
      </w:r>
      <w:r w:rsidR="00AE3873">
        <w:rPr>
          <w:i/>
        </w:rPr>
        <w:t>6</w:t>
      </w:r>
    </w:p>
  </w:footnote>
  <w:footnote w:id="5">
    <w:p w:rsidR="00F41BC8" w:rsidRPr="002E4327" w:rsidRDefault="00F41BC8" w:rsidP="00F41BC8">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2F" w:rsidRPr="00650AE8" w:rsidRDefault="00297E2F" w:rsidP="00297E2F">
    <w:pPr>
      <w:pStyle w:val="a9"/>
      <w:jc w:val="center"/>
      <w:rPr>
        <w:i/>
        <w:sz w:val="20"/>
        <w:szCs w:val="20"/>
        <w:u w:val="single"/>
      </w:rPr>
    </w:pPr>
    <w:r w:rsidRPr="00650AE8">
      <w:rPr>
        <w:i/>
        <w:sz w:val="20"/>
        <w:szCs w:val="20"/>
        <w:u w:val="single"/>
      </w:rPr>
      <w:t xml:space="preserve">Анализ рынка торговой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D109E1">
      <w:rPr>
        <w:i/>
        <w:sz w:val="20"/>
        <w:szCs w:val="20"/>
        <w:u w:val="single"/>
      </w:rPr>
      <w:t>(в период с 01 января 2009 по 31</w:t>
    </w:r>
    <w:r w:rsidR="00B2425E">
      <w:rPr>
        <w:i/>
        <w:sz w:val="20"/>
        <w:szCs w:val="20"/>
        <w:u w:val="single"/>
      </w:rPr>
      <w:t xml:space="preserve"> </w:t>
    </w:r>
    <w:r w:rsidR="00D109E1">
      <w:rPr>
        <w:i/>
        <w:sz w:val="20"/>
        <w:szCs w:val="20"/>
        <w:u w:val="single"/>
      </w:rPr>
      <w:t>марта</w:t>
    </w:r>
    <w:r w:rsidR="00E206C4">
      <w:rPr>
        <w:i/>
        <w:sz w:val="20"/>
        <w:szCs w:val="20"/>
        <w:u w:val="single"/>
      </w:rPr>
      <w:t xml:space="preserve"> 2020</w:t>
    </w:r>
    <w:r w:rsidR="00804BC6">
      <w:rPr>
        <w:i/>
        <w:sz w:val="20"/>
        <w:szCs w:val="20"/>
        <w:u w:val="single"/>
      </w:rPr>
      <w:t xml:space="preserve"> </w:t>
    </w:r>
    <w:r w:rsidRPr="00C10343">
      <w:rPr>
        <w:i/>
        <w:sz w:val="20"/>
        <w:szCs w:val="20"/>
        <w:u w:val="single"/>
      </w:rPr>
      <w:t>г.)</w:t>
    </w:r>
  </w:p>
  <w:p w:rsidR="00297E2F" w:rsidRPr="00FD658D" w:rsidRDefault="00297E2F" w:rsidP="00297E2F">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0B" w:rsidRPr="00923D51" w:rsidRDefault="0067780B" w:rsidP="0067780B">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7780B" w:rsidRPr="002248A2" w:rsidRDefault="0067780B" w:rsidP="0067780B">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23554"/>
  </w:hdrShapeDefaults>
  <w:footnotePr>
    <w:footnote w:id="-1"/>
    <w:footnote w:id="0"/>
  </w:footnotePr>
  <w:endnotePr>
    <w:endnote w:id="-1"/>
    <w:endnote w:id="0"/>
  </w:endnotePr>
  <w:compat/>
  <w:rsids>
    <w:rsidRoot w:val="005B6E2A"/>
    <w:rsid w:val="000003C4"/>
    <w:rsid w:val="00001F11"/>
    <w:rsid w:val="00006084"/>
    <w:rsid w:val="000119CE"/>
    <w:rsid w:val="000123F0"/>
    <w:rsid w:val="00012BF5"/>
    <w:rsid w:val="0001406A"/>
    <w:rsid w:val="00020599"/>
    <w:rsid w:val="00022AC9"/>
    <w:rsid w:val="00022D4C"/>
    <w:rsid w:val="00025C0C"/>
    <w:rsid w:val="00025FED"/>
    <w:rsid w:val="000339B2"/>
    <w:rsid w:val="0003552C"/>
    <w:rsid w:val="0003574A"/>
    <w:rsid w:val="00036F38"/>
    <w:rsid w:val="00037673"/>
    <w:rsid w:val="00043764"/>
    <w:rsid w:val="00044C1B"/>
    <w:rsid w:val="0004668C"/>
    <w:rsid w:val="00053B76"/>
    <w:rsid w:val="00056B7D"/>
    <w:rsid w:val="0006027B"/>
    <w:rsid w:val="00063128"/>
    <w:rsid w:val="000674E7"/>
    <w:rsid w:val="000710CB"/>
    <w:rsid w:val="000711B7"/>
    <w:rsid w:val="00071FA8"/>
    <w:rsid w:val="00073C2D"/>
    <w:rsid w:val="00073D59"/>
    <w:rsid w:val="00075C8A"/>
    <w:rsid w:val="00077E1F"/>
    <w:rsid w:val="00080D7E"/>
    <w:rsid w:val="00081B42"/>
    <w:rsid w:val="000829BB"/>
    <w:rsid w:val="00092BB4"/>
    <w:rsid w:val="00092C8B"/>
    <w:rsid w:val="00093DBE"/>
    <w:rsid w:val="000A02D2"/>
    <w:rsid w:val="000A3066"/>
    <w:rsid w:val="000A4539"/>
    <w:rsid w:val="000B2EC1"/>
    <w:rsid w:val="000B50F9"/>
    <w:rsid w:val="000B5717"/>
    <w:rsid w:val="000B5773"/>
    <w:rsid w:val="000B665D"/>
    <w:rsid w:val="000C4263"/>
    <w:rsid w:val="000C6638"/>
    <w:rsid w:val="000C75E6"/>
    <w:rsid w:val="000D2080"/>
    <w:rsid w:val="000D3066"/>
    <w:rsid w:val="000D3AA9"/>
    <w:rsid w:val="000D58DB"/>
    <w:rsid w:val="000D6DFA"/>
    <w:rsid w:val="000D7C5F"/>
    <w:rsid w:val="000E08FD"/>
    <w:rsid w:val="000E091F"/>
    <w:rsid w:val="000E49FF"/>
    <w:rsid w:val="000E777C"/>
    <w:rsid w:val="000F0777"/>
    <w:rsid w:val="000F4134"/>
    <w:rsid w:val="000F5097"/>
    <w:rsid w:val="001003D9"/>
    <w:rsid w:val="00101577"/>
    <w:rsid w:val="00106D58"/>
    <w:rsid w:val="00107849"/>
    <w:rsid w:val="00107A5F"/>
    <w:rsid w:val="0012069D"/>
    <w:rsid w:val="00120C77"/>
    <w:rsid w:val="00123D2A"/>
    <w:rsid w:val="001241F1"/>
    <w:rsid w:val="001306A4"/>
    <w:rsid w:val="001309B3"/>
    <w:rsid w:val="00132799"/>
    <w:rsid w:val="0013365F"/>
    <w:rsid w:val="00135774"/>
    <w:rsid w:val="00135B18"/>
    <w:rsid w:val="00137658"/>
    <w:rsid w:val="001428A0"/>
    <w:rsid w:val="00151417"/>
    <w:rsid w:val="001528CB"/>
    <w:rsid w:val="00152B78"/>
    <w:rsid w:val="00152D89"/>
    <w:rsid w:val="00155DC2"/>
    <w:rsid w:val="001560B3"/>
    <w:rsid w:val="00156811"/>
    <w:rsid w:val="00160B53"/>
    <w:rsid w:val="00163081"/>
    <w:rsid w:val="0016528A"/>
    <w:rsid w:val="00177CB4"/>
    <w:rsid w:val="0018271E"/>
    <w:rsid w:val="00187134"/>
    <w:rsid w:val="00192185"/>
    <w:rsid w:val="00193112"/>
    <w:rsid w:val="00194857"/>
    <w:rsid w:val="001948E6"/>
    <w:rsid w:val="001A2A0B"/>
    <w:rsid w:val="001A3FD5"/>
    <w:rsid w:val="001A6535"/>
    <w:rsid w:val="001A75D2"/>
    <w:rsid w:val="001B4143"/>
    <w:rsid w:val="001B67E5"/>
    <w:rsid w:val="001C1C70"/>
    <w:rsid w:val="001C2C76"/>
    <w:rsid w:val="001C3E4E"/>
    <w:rsid w:val="001C5169"/>
    <w:rsid w:val="001D2E1E"/>
    <w:rsid w:val="001E1663"/>
    <w:rsid w:val="001E1770"/>
    <w:rsid w:val="001E1B1B"/>
    <w:rsid w:val="001E2BE0"/>
    <w:rsid w:val="001F0A51"/>
    <w:rsid w:val="001F1FBF"/>
    <w:rsid w:val="001F224E"/>
    <w:rsid w:val="001F5540"/>
    <w:rsid w:val="001F5591"/>
    <w:rsid w:val="001F56C1"/>
    <w:rsid w:val="001F7630"/>
    <w:rsid w:val="00202D2C"/>
    <w:rsid w:val="002145A5"/>
    <w:rsid w:val="00214834"/>
    <w:rsid w:val="00215616"/>
    <w:rsid w:val="00217717"/>
    <w:rsid w:val="0021798B"/>
    <w:rsid w:val="002248A2"/>
    <w:rsid w:val="00225877"/>
    <w:rsid w:val="0022712D"/>
    <w:rsid w:val="00245921"/>
    <w:rsid w:val="00251575"/>
    <w:rsid w:val="0025333E"/>
    <w:rsid w:val="00261029"/>
    <w:rsid w:val="0026109E"/>
    <w:rsid w:val="00262514"/>
    <w:rsid w:val="00265DDE"/>
    <w:rsid w:val="00266362"/>
    <w:rsid w:val="0027178B"/>
    <w:rsid w:val="0027389E"/>
    <w:rsid w:val="002752EE"/>
    <w:rsid w:val="00276301"/>
    <w:rsid w:val="00277019"/>
    <w:rsid w:val="00280F73"/>
    <w:rsid w:val="002957A3"/>
    <w:rsid w:val="00297E2F"/>
    <w:rsid w:val="002B2428"/>
    <w:rsid w:val="002B27F0"/>
    <w:rsid w:val="002B7C0A"/>
    <w:rsid w:val="002C0D29"/>
    <w:rsid w:val="002C3B7E"/>
    <w:rsid w:val="002C7394"/>
    <w:rsid w:val="002D07DE"/>
    <w:rsid w:val="002D18F1"/>
    <w:rsid w:val="002D19E8"/>
    <w:rsid w:val="002D53BF"/>
    <w:rsid w:val="002D56A8"/>
    <w:rsid w:val="002D5EB9"/>
    <w:rsid w:val="002D5F88"/>
    <w:rsid w:val="002D7853"/>
    <w:rsid w:val="002E32CC"/>
    <w:rsid w:val="002E36A0"/>
    <w:rsid w:val="002E47D7"/>
    <w:rsid w:val="002F28D3"/>
    <w:rsid w:val="002F702C"/>
    <w:rsid w:val="002F7ACA"/>
    <w:rsid w:val="00300985"/>
    <w:rsid w:val="003052B8"/>
    <w:rsid w:val="00305C51"/>
    <w:rsid w:val="00310774"/>
    <w:rsid w:val="003115EA"/>
    <w:rsid w:val="00312135"/>
    <w:rsid w:val="00312956"/>
    <w:rsid w:val="00313C11"/>
    <w:rsid w:val="00320258"/>
    <w:rsid w:val="0032419C"/>
    <w:rsid w:val="0032571E"/>
    <w:rsid w:val="00325723"/>
    <w:rsid w:val="00330B3B"/>
    <w:rsid w:val="00332D38"/>
    <w:rsid w:val="003343C6"/>
    <w:rsid w:val="00341256"/>
    <w:rsid w:val="00341C10"/>
    <w:rsid w:val="00346820"/>
    <w:rsid w:val="00346CCD"/>
    <w:rsid w:val="00350952"/>
    <w:rsid w:val="003513D0"/>
    <w:rsid w:val="003526BF"/>
    <w:rsid w:val="003534FC"/>
    <w:rsid w:val="00354A7B"/>
    <w:rsid w:val="00355E72"/>
    <w:rsid w:val="00360A8E"/>
    <w:rsid w:val="00363DD9"/>
    <w:rsid w:val="00373BBD"/>
    <w:rsid w:val="003801B7"/>
    <w:rsid w:val="00383584"/>
    <w:rsid w:val="0038549F"/>
    <w:rsid w:val="00386D19"/>
    <w:rsid w:val="00394D8B"/>
    <w:rsid w:val="00396BC1"/>
    <w:rsid w:val="003A0391"/>
    <w:rsid w:val="003A0C66"/>
    <w:rsid w:val="003A7433"/>
    <w:rsid w:val="003A77A6"/>
    <w:rsid w:val="003B0B9D"/>
    <w:rsid w:val="003B2F25"/>
    <w:rsid w:val="003B7247"/>
    <w:rsid w:val="003C0386"/>
    <w:rsid w:val="003C3A29"/>
    <w:rsid w:val="003C4F54"/>
    <w:rsid w:val="003C54F1"/>
    <w:rsid w:val="003D005A"/>
    <w:rsid w:val="003D093A"/>
    <w:rsid w:val="003D2152"/>
    <w:rsid w:val="003D3123"/>
    <w:rsid w:val="003D3BB3"/>
    <w:rsid w:val="003D4D2A"/>
    <w:rsid w:val="003D6123"/>
    <w:rsid w:val="003E2DB5"/>
    <w:rsid w:val="003E2E6E"/>
    <w:rsid w:val="003E34F1"/>
    <w:rsid w:val="003E5B17"/>
    <w:rsid w:val="003F22A0"/>
    <w:rsid w:val="003F3AA3"/>
    <w:rsid w:val="003F3FDD"/>
    <w:rsid w:val="003F65BA"/>
    <w:rsid w:val="00400682"/>
    <w:rsid w:val="00403224"/>
    <w:rsid w:val="00403BEA"/>
    <w:rsid w:val="00410BB9"/>
    <w:rsid w:val="00413ACA"/>
    <w:rsid w:val="00415C26"/>
    <w:rsid w:val="00417272"/>
    <w:rsid w:val="00417BD8"/>
    <w:rsid w:val="004203D6"/>
    <w:rsid w:val="00420979"/>
    <w:rsid w:val="004211BE"/>
    <w:rsid w:val="00424796"/>
    <w:rsid w:val="004254E2"/>
    <w:rsid w:val="0042743A"/>
    <w:rsid w:val="004331BE"/>
    <w:rsid w:val="00434CE2"/>
    <w:rsid w:val="00437FC9"/>
    <w:rsid w:val="00443D13"/>
    <w:rsid w:val="004448D1"/>
    <w:rsid w:val="00451313"/>
    <w:rsid w:val="0045132C"/>
    <w:rsid w:val="0045429F"/>
    <w:rsid w:val="00460DDA"/>
    <w:rsid w:val="00467CFC"/>
    <w:rsid w:val="00471029"/>
    <w:rsid w:val="0047298C"/>
    <w:rsid w:val="00476C72"/>
    <w:rsid w:val="0048102B"/>
    <w:rsid w:val="00481B91"/>
    <w:rsid w:val="00485FDC"/>
    <w:rsid w:val="00490745"/>
    <w:rsid w:val="00491683"/>
    <w:rsid w:val="004943C2"/>
    <w:rsid w:val="0049747C"/>
    <w:rsid w:val="00497C57"/>
    <w:rsid w:val="004B4DCE"/>
    <w:rsid w:val="004B7032"/>
    <w:rsid w:val="004B72F6"/>
    <w:rsid w:val="004C0354"/>
    <w:rsid w:val="004C0AD5"/>
    <w:rsid w:val="004C1638"/>
    <w:rsid w:val="004C4D0F"/>
    <w:rsid w:val="004C6F7E"/>
    <w:rsid w:val="004D0175"/>
    <w:rsid w:val="004D18CF"/>
    <w:rsid w:val="004D464A"/>
    <w:rsid w:val="004D5388"/>
    <w:rsid w:val="004D782F"/>
    <w:rsid w:val="004D7A23"/>
    <w:rsid w:val="004D7DFC"/>
    <w:rsid w:val="004E047B"/>
    <w:rsid w:val="004E5358"/>
    <w:rsid w:val="004F762F"/>
    <w:rsid w:val="00500B7D"/>
    <w:rsid w:val="00503400"/>
    <w:rsid w:val="00503BEA"/>
    <w:rsid w:val="00504B6E"/>
    <w:rsid w:val="00505F7B"/>
    <w:rsid w:val="0050684F"/>
    <w:rsid w:val="005104E7"/>
    <w:rsid w:val="0051435F"/>
    <w:rsid w:val="00516828"/>
    <w:rsid w:val="00523EDE"/>
    <w:rsid w:val="00525429"/>
    <w:rsid w:val="005308F5"/>
    <w:rsid w:val="00530E9C"/>
    <w:rsid w:val="005332B6"/>
    <w:rsid w:val="00536040"/>
    <w:rsid w:val="00536733"/>
    <w:rsid w:val="005443C4"/>
    <w:rsid w:val="00545D48"/>
    <w:rsid w:val="00545FBE"/>
    <w:rsid w:val="00554729"/>
    <w:rsid w:val="005556CE"/>
    <w:rsid w:val="0055613B"/>
    <w:rsid w:val="00557CB1"/>
    <w:rsid w:val="00557DB5"/>
    <w:rsid w:val="005609F5"/>
    <w:rsid w:val="00562EFD"/>
    <w:rsid w:val="005649D1"/>
    <w:rsid w:val="00571043"/>
    <w:rsid w:val="005727A8"/>
    <w:rsid w:val="00574005"/>
    <w:rsid w:val="00575295"/>
    <w:rsid w:val="00575E71"/>
    <w:rsid w:val="0057601B"/>
    <w:rsid w:val="00577016"/>
    <w:rsid w:val="00584DD5"/>
    <w:rsid w:val="0058559F"/>
    <w:rsid w:val="0058692A"/>
    <w:rsid w:val="005A1698"/>
    <w:rsid w:val="005A39A9"/>
    <w:rsid w:val="005A6D95"/>
    <w:rsid w:val="005A7473"/>
    <w:rsid w:val="005A7F4E"/>
    <w:rsid w:val="005B2041"/>
    <w:rsid w:val="005B2375"/>
    <w:rsid w:val="005B24DA"/>
    <w:rsid w:val="005B60E4"/>
    <w:rsid w:val="005B6304"/>
    <w:rsid w:val="005B6E2A"/>
    <w:rsid w:val="005C000B"/>
    <w:rsid w:val="005C495D"/>
    <w:rsid w:val="005C4A30"/>
    <w:rsid w:val="005D0897"/>
    <w:rsid w:val="005D5236"/>
    <w:rsid w:val="005D5632"/>
    <w:rsid w:val="005D6FC8"/>
    <w:rsid w:val="005D7596"/>
    <w:rsid w:val="005E36C1"/>
    <w:rsid w:val="005E74E7"/>
    <w:rsid w:val="005F1877"/>
    <w:rsid w:val="005F4D53"/>
    <w:rsid w:val="005F4EB2"/>
    <w:rsid w:val="005F5ADC"/>
    <w:rsid w:val="005F62B1"/>
    <w:rsid w:val="005F7133"/>
    <w:rsid w:val="006015F9"/>
    <w:rsid w:val="00603785"/>
    <w:rsid w:val="00604AD0"/>
    <w:rsid w:val="00605918"/>
    <w:rsid w:val="00606536"/>
    <w:rsid w:val="00606D6E"/>
    <w:rsid w:val="00610A33"/>
    <w:rsid w:val="00622D11"/>
    <w:rsid w:val="00624515"/>
    <w:rsid w:val="006346AF"/>
    <w:rsid w:val="00643131"/>
    <w:rsid w:val="00647495"/>
    <w:rsid w:val="00647BD9"/>
    <w:rsid w:val="0065625B"/>
    <w:rsid w:val="00657E12"/>
    <w:rsid w:val="00665608"/>
    <w:rsid w:val="006662DF"/>
    <w:rsid w:val="00671BD2"/>
    <w:rsid w:val="00674BAA"/>
    <w:rsid w:val="00676162"/>
    <w:rsid w:val="0067780B"/>
    <w:rsid w:val="00680A19"/>
    <w:rsid w:val="0068271B"/>
    <w:rsid w:val="00682EC7"/>
    <w:rsid w:val="006853A6"/>
    <w:rsid w:val="006858D1"/>
    <w:rsid w:val="00690366"/>
    <w:rsid w:val="0069479A"/>
    <w:rsid w:val="00695258"/>
    <w:rsid w:val="0069529D"/>
    <w:rsid w:val="00696376"/>
    <w:rsid w:val="0069659F"/>
    <w:rsid w:val="006A014E"/>
    <w:rsid w:val="006A0BE5"/>
    <w:rsid w:val="006A0D64"/>
    <w:rsid w:val="006A1E6A"/>
    <w:rsid w:val="006A2544"/>
    <w:rsid w:val="006A2828"/>
    <w:rsid w:val="006A6C42"/>
    <w:rsid w:val="006A79CA"/>
    <w:rsid w:val="006B0230"/>
    <w:rsid w:val="006B03FA"/>
    <w:rsid w:val="006B082B"/>
    <w:rsid w:val="006B1239"/>
    <w:rsid w:val="006B3D11"/>
    <w:rsid w:val="006C3CB9"/>
    <w:rsid w:val="006C57B0"/>
    <w:rsid w:val="006C68D3"/>
    <w:rsid w:val="006C7D2A"/>
    <w:rsid w:val="006D3460"/>
    <w:rsid w:val="006D4B37"/>
    <w:rsid w:val="006E095F"/>
    <w:rsid w:val="006E1188"/>
    <w:rsid w:val="006E1540"/>
    <w:rsid w:val="006E18FA"/>
    <w:rsid w:val="006E2E7F"/>
    <w:rsid w:val="006E3113"/>
    <w:rsid w:val="006E50F1"/>
    <w:rsid w:val="006E5E1E"/>
    <w:rsid w:val="006E69CF"/>
    <w:rsid w:val="006F1AB7"/>
    <w:rsid w:val="006F56A1"/>
    <w:rsid w:val="006F694C"/>
    <w:rsid w:val="006F7CA6"/>
    <w:rsid w:val="00702812"/>
    <w:rsid w:val="00703194"/>
    <w:rsid w:val="00703C68"/>
    <w:rsid w:val="00706BB0"/>
    <w:rsid w:val="00707323"/>
    <w:rsid w:val="00715D6F"/>
    <w:rsid w:val="007201AD"/>
    <w:rsid w:val="00723814"/>
    <w:rsid w:val="00724ADF"/>
    <w:rsid w:val="00726FAA"/>
    <w:rsid w:val="00732FFF"/>
    <w:rsid w:val="00740491"/>
    <w:rsid w:val="00743A60"/>
    <w:rsid w:val="007471E7"/>
    <w:rsid w:val="007529FC"/>
    <w:rsid w:val="007560F4"/>
    <w:rsid w:val="00761F26"/>
    <w:rsid w:val="0076224F"/>
    <w:rsid w:val="007627EA"/>
    <w:rsid w:val="00764500"/>
    <w:rsid w:val="00764E30"/>
    <w:rsid w:val="0076640E"/>
    <w:rsid w:val="00771609"/>
    <w:rsid w:val="00776583"/>
    <w:rsid w:val="00784076"/>
    <w:rsid w:val="00790F96"/>
    <w:rsid w:val="007918FF"/>
    <w:rsid w:val="007920CC"/>
    <w:rsid w:val="00793F8F"/>
    <w:rsid w:val="00794772"/>
    <w:rsid w:val="007A0371"/>
    <w:rsid w:val="007A1735"/>
    <w:rsid w:val="007A2ACC"/>
    <w:rsid w:val="007A5C1A"/>
    <w:rsid w:val="007B05ED"/>
    <w:rsid w:val="007B3824"/>
    <w:rsid w:val="007C182C"/>
    <w:rsid w:val="007C58B6"/>
    <w:rsid w:val="007D25AC"/>
    <w:rsid w:val="007D2C47"/>
    <w:rsid w:val="007D48E2"/>
    <w:rsid w:val="007D4AA0"/>
    <w:rsid w:val="007D6A63"/>
    <w:rsid w:val="007E1BAA"/>
    <w:rsid w:val="007E4B6E"/>
    <w:rsid w:val="007F03DA"/>
    <w:rsid w:val="007F3183"/>
    <w:rsid w:val="007F738A"/>
    <w:rsid w:val="0080483D"/>
    <w:rsid w:val="00804860"/>
    <w:rsid w:val="00804BC6"/>
    <w:rsid w:val="008109DA"/>
    <w:rsid w:val="00810C53"/>
    <w:rsid w:val="0081574E"/>
    <w:rsid w:val="00817AAB"/>
    <w:rsid w:val="00820C11"/>
    <w:rsid w:val="008238AC"/>
    <w:rsid w:val="00823B5C"/>
    <w:rsid w:val="008247CB"/>
    <w:rsid w:val="0082568F"/>
    <w:rsid w:val="00830C10"/>
    <w:rsid w:val="00831255"/>
    <w:rsid w:val="0083188A"/>
    <w:rsid w:val="00832C8C"/>
    <w:rsid w:val="008357F3"/>
    <w:rsid w:val="00836890"/>
    <w:rsid w:val="0084563C"/>
    <w:rsid w:val="008459E6"/>
    <w:rsid w:val="00845EF2"/>
    <w:rsid w:val="008505FE"/>
    <w:rsid w:val="00851ACE"/>
    <w:rsid w:val="00852138"/>
    <w:rsid w:val="00852F13"/>
    <w:rsid w:val="00852FC6"/>
    <w:rsid w:val="00860B31"/>
    <w:rsid w:val="00862393"/>
    <w:rsid w:val="00862DDB"/>
    <w:rsid w:val="00863B66"/>
    <w:rsid w:val="0087078B"/>
    <w:rsid w:val="00873310"/>
    <w:rsid w:val="008756E4"/>
    <w:rsid w:val="008762C4"/>
    <w:rsid w:val="00876485"/>
    <w:rsid w:val="0087741E"/>
    <w:rsid w:val="00884406"/>
    <w:rsid w:val="00885979"/>
    <w:rsid w:val="00886558"/>
    <w:rsid w:val="00891E52"/>
    <w:rsid w:val="0089431C"/>
    <w:rsid w:val="00894C83"/>
    <w:rsid w:val="00897F1F"/>
    <w:rsid w:val="008A0EEE"/>
    <w:rsid w:val="008A2FFF"/>
    <w:rsid w:val="008A3C93"/>
    <w:rsid w:val="008A658D"/>
    <w:rsid w:val="008B08FD"/>
    <w:rsid w:val="008B2314"/>
    <w:rsid w:val="008B269C"/>
    <w:rsid w:val="008C7CA3"/>
    <w:rsid w:val="008D2AD2"/>
    <w:rsid w:val="008D7449"/>
    <w:rsid w:val="008D75E2"/>
    <w:rsid w:val="008E0E7E"/>
    <w:rsid w:val="008E107D"/>
    <w:rsid w:val="008E1EEC"/>
    <w:rsid w:val="008E24B4"/>
    <w:rsid w:val="008E5278"/>
    <w:rsid w:val="008F1481"/>
    <w:rsid w:val="00900431"/>
    <w:rsid w:val="00901DDD"/>
    <w:rsid w:val="009031F0"/>
    <w:rsid w:val="00903941"/>
    <w:rsid w:val="0090407A"/>
    <w:rsid w:val="009078AF"/>
    <w:rsid w:val="0091158F"/>
    <w:rsid w:val="00911BA8"/>
    <w:rsid w:val="00913659"/>
    <w:rsid w:val="00917923"/>
    <w:rsid w:val="00922DAD"/>
    <w:rsid w:val="00923D51"/>
    <w:rsid w:val="00926D28"/>
    <w:rsid w:val="0093236F"/>
    <w:rsid w:val="0093364F"/>
    <w:rsid w:val="00937A87"/>
    <w:rsid w:val="00941112"/>
    <w:rsid w:val="00941486"/>
    <w:rsid w:val="009449B2"/>
    <w:rsid w:val="00946C30"/>
    <w:rsid w:val="00951248"/>
    <w:rsid w:val="0095129B"/>
    <w:rsid w:val="00954EF3"/>
    <w:rsid w:val="00963975"/>
    <w:rsid w:val="009677A6"/>
    <w:rsid w:val="00976626"/>
    <w:rsid w:val="00982E6E"/>
    <w:rsid w:val="00985F0E"/>
    <w:rsid w:val="00986CD4"/>
    <w:rsid w:val="009915AE"/>
    <w:rsid w:val="00994C9C"/>
    <w:rsid w:val="00995B9D"/>
    <w:rsid w:val="009963CF"/>
    <w:rsid w:val="009A2E6D"/>
    <w:rsid w:val="009A40C5"/>
    <w:rsid w:val="009A518F"/>
    <w:rsid w:val="009A7CC5"/>
    <w:rsid w:val="009B0E24"/>
    <w:rsid w:val="009B1629"/>
    <w:rsid w:val="009B599E"/>
    <w:rsid w:val="009B7BA4"/>
    <w:rsid w:val="009C0A56"/>
    <w:rsid w:val="009C0A75"/>
    <w:rsid w:val="009C1C08"/>
    <w:rsid w:val="009C2425"/>
    <w:rsid w:val="009C33A9"/>
    <w:rsid w:val="009C37A7"/>
    <w:rsid w:val="009C54B3"/>
    <w:rsid w:val="009C5DFE"/>
    <w:rsid w:val="009C7598"/>
    <w:rsid w:val="009D0E11"/>
    <w:rsid w:val="009D22F1"/>
    <w:rsid w:val="009D3EAA"/>
    <w:rsid w:val="009D70E1"/>
    <w:rsid w:val="009E5ACA"/>
    <w:rsid w:val="009E76F6"/>
    <w:rsid w:val="009F2C44"/>
    <w:rsid w:val="009F773E"/>
    <w:rsid w:val="00A0262B"/>
    <w:rsid w:val="00A02BAC"/>
    <w:rsid w:val="00A12E19"/>
    <w:rsid w:val="00A158AC"/>
    <w:rsid w:val="00A162B6"/>
    <w:rsid w:val="00A16974"/>
    <w:rsid w:val="00A23371"/>
    <w:rsid w:val="00A30F81"/>
    <w:rsid w:val="00A31D88"/>
    <w:rsid w:val="00A34A06"/>
    <w:rsid w:val="00A34F08"/>
    <w:rsid w:val="00A3586C"/>
    <w:rsid w:val="00A37877"/>
    <w:rsid w:val="00A40C39"/>
    <w:rsid w:val="00A42292"/>
    <w:rsid w:val="00A43F1D"/>
    <w:rsid w:val="00A46DF0"/>
    <w:rsid w:val="00A51E66"/>
    <w:rsid w:val="00A520E1"/>
    <w:rsid w:val="00A528B9"/>
    <w:rsid w:val="00A54726"/>
    <w:rsid w:val="00A55A90"/>
    <w:rsid w:val="00A56599"/>
    <w:rsid w:val="00A5754D"/>
    <w:rsid w:val="00A61567"/>
    <w:rsid w:val="00A62FD8"/>
    <w:rsid w:val="00A63B42"/>
    <w:rsid w:val="00A65FC9"/>
    <w:rsid w:val="00A6611D"/>
    <w:rsid w:val="00A6653A"/>
    <w:rsid w:val="00A70290"/>
    <w:rsid w:val="00A714DE"/>
    <w:rsid w:val="00A726A6"/>
    <w:rsid w:val="00A7294D"/>
    <w:rsid w:val="00A72FCC"/>
    <w:rsid w:val="00A74050"/>
    <w:rsid w:val="00A91EDA"/>
    <w:rsid w:val="00A9207A"/>
    <w:rsid w:val="00A92568"/>
    <w:rsid w:val="00A92B1E"/>
    <w:rsid w:val="00A934F5"/>
    <w:rsid w:val="00A94424"/>
    <w:rsid w:val="00A954D4"/>
    <w:rsid w:val="00A955CB"/>
    <w:rsid w:val="00AA10BE"/>
    <w:rsid w:val="00AA2AA0"/>
    <w:rsid w:val="00AB1550"/>
    <w:rsid w:val="00AB3042"/>
    <w:rsid w:val="00AB5A30"/>
    <w:rsid w:val="00AC038D"/>
    <w:rsid w:val="00AC17C3"/>
    <w:rsid w:val="00AC29EF"/>
    <w:rsid w:val="00AC38BC"/>
    <w:rsid w:val="00AC516D"/>
    <w:rsid w:val="00AC6582"/>
    <w:rsid w:val="00AC67D9"/>
    <w:rsid w:val="00AC6C75"/>
    <w:rsid w:val="00AC6DDC"/>
    <w:rsid w:val="00AC7001"/>
    <w:rsid w:val="00AD07A3"/>
    <w:rsid w:val="00AD12D3"/>
    <w:rsid w:val="00AD1DFF"/>
    <w:rsid w:val="00AD3C3A"/>
    <w:rsid w:val="00AD7846"/>
    <w:rsid w:val="00AE178D"/>
    <w:rsid w:val="00AE2226"/>
    <w:rsid w:val="00AE2785"/>
    <w:rsid w:val="00AE37F5"/>
    <w:rsid w:val="00AE3873"/>
    <w:rsid w:val="00AE6B8D"/>
    <w:rsid w:val="00AF2058"/>
    <w:rsid w:val="00AF264D"/>
    <w:rsid w:val="00AF269E"/>
    <w:rsid w:val="00AF5109"/>
    <w:rsid w:val="00AF51F8"/>
    <w:rsid w:val="00B028E2"/>
    <w:rsid w:val="00B044A3"/>
    <w:rsid w:val="00B0452F"/>
    <w:rsid w:val="00B15789"/>
    <w:rsid w:val="00B17CA4"/>
    <w:rsid w:val="00B17FF5"/>
    <w:rsid w:val="00B2250B"/>
    <w:rsid w:val="00B2269D"/>
    <w:rsid w:val="00B2425E"/>
    <w:rsid w:val="00B267D4"/>
    <w:rsid w:val="00B27BF2"/>
    <w:rsid w:val="00B319E0"/>
    <w:rsid w:val="00B3430B"/>
    <w:rsid w:val="00B35A62"/>
    <w:rsid w:val="00B40253"/>
    <w:rsid w:val="00B46081"/>
    <w:rsid w:val="00B46B4E"/>
    <w:rsid w:val="00B46C1C"/>
    <w:rsid w:val="00B503D3"/>
    <w:rsid w:val="00B52685"/>
    <w:rsid w:val="00B53A5C"/>
    <w:rsid w:val="00B55AF6"/>
    <w:rsid w:val="00B55C77"/>
    <w:rsid w:val="00B56402"/>
    <w:rsid w:val="00B56FC0"/>
    <w:rsid w:val="00B57820"/>
    <w:rsid w:val="00B621C1"/>
    <w:rsid w:val="00B6682C"/>
    <w:rsid w:val="00B714A0"/>
    <w:rsid w:val="00B75944"/>
    <w:rsid w:val="00B760D5"/>
    <w:rsid w:val="00B76BD1"/>
    <w:rsid w:val="00B77523"/>
    <w:rsid w:val="00B82CE2"/>
    <w:rsid w:val="00B877DA"/>
    <w:rsid w:val="00B8780E"/>
    <w:rsid w:val="00B90EE2"/>
    <w:rsid w:val="00B941ED"/>
    <w:rsid w:val="00B95FF0"/>
    <w:rsid w:val="00BA0428"/>
    <w:rsid w:val="00BA6D0F"/>
    <w:rsid w:val="00BB329B"/>
    <w:rsid w:val="00BC2730"/>
    <w:rsid w:val="00BC296D"/>
    <w:rsid w:val="00BC3842"/>
    <w:rsid w:val="00BC68BD"/>
    <w:rsid w:val="00BC6B65"/>
    <w:rsid w:val="00BD085E"/>
    <w:rsid w:val="00BD17EF"/>
    <w:rsid w:val="00BD5283"/>
    <w:rsid w:val="00BD5753"/>
    <w:rsid w:val="00BD7399"/>
    <w:rsid w:val="00BE15F2"/>
    <w:rsid w:val="00BE2128"/>
    <w:rsid w:val="00BE226E"/>
    <w:rsid w:val="00BE5B64"/>
    <w:rsid w:val="00BF0ADE"/>
    <w:rsid w:val="00BF3937"/>
    <w:rsid w:val="00BF3C87"/>
    <w:rsid w:val="00BF5C03"/>
    <w:rsid w:val="00C00963"/>
    <w:rsid w:val="00C02139"/>
    <w:rsid w:val="00C043C8"/>
    <w:rsid w:val="00C04EFB"/>
    <w:rsid w:val="00C06DE3"/>
    <w:rsid w:val="00C10343"/>
    <w:rsid w:val="00C252C5"/>
    <w:rsid w:val="00C27A1A"/>
    <w:rsid w:val="00C303F9"/>
    <w:rsid w:val="00C30C4F"/>
    <w:rsid w:val="00C333FB"/>
    <w:rsid w:val="00C339B9"/>
    <w:rsid w:val="00C40140"/>
    <w:rsid w:val="00C413AF"/>
    <w:rsid w:val="00C47032"/>
    <w:rsid w:val="00C50D10"/>
    <w:rsid w:val="00C51AA3"/>
    <w:rsid w:val="00C53F62"/>
    <w:rsid w:val="00C5424E"/>
    <w:rsid w:val="00C60DA8"/>
    <w:rsid w:val="00C640CB"/>
    <w:rsid w:val="00C66458"/>
    <w:rsid w:val="00C710E2"/>
    <w:rsid w:val="00C7576B"/>
    <w:rsid w:val="00C75F76"/>
    <w:rsid w:val="00C76943"/>
    <w:rsid w:val="00C81133"/>
    <w:rsid w:val="00C82577"/>
    <w:rsid w:val="00C8650E"/>
    <w:rsid w:val="00C91F4C"/>
    <w:rsid w:val="00C9557E"/>
    <w:rsid w:val="00C973C7"/>
    <w:rsid w:val="00CA1D95"/>
    <w:rsid w:val="00CB1B27"/>
    <w:rsid w:val="00CB24C7"/>
    <w:rsid w:val="00CB2507"/>
    <w:rsid w:val="00CB48AC"/>
    <w:rsid w:val="00CC031B"/>
    <w:rsid w:val="00CC52FE"/>
    <w:rsid w:val="00CC57FC"/>
    <w:rsid w:val="00CD2413"/>
    <w:rsid w:val="00CD55ED"/>
    <w:rsid w:val="00CD7667"/>
    <w:rsid w:val="00CE0B22"/>
    <w:rsid w:val="00CE586E"/>
    <w:rsid w:val="00CE7B42"/>
    <w:rsid w:val="00CF0F14"/>
    <w:rsid w:val="00CF268F"/>
    <w:rsid w:val="00CF75C9"/>
    <w:rsid w:val="00CF7E92"/>
    <w:rsid w:val="00CF7FDC"/>
    <w:rsid w:val="00D04152"/>
    <w:rsid w:val="00D072F0"/>
    <w:rsid w:val="00D109E1"/>
    <w:rsid w:val="00D12D0E"/>
    <w:rsid w:val="00D1639F"/>
    <w:rsid w:val="00D24FAB"/>
    <w:rsid w:val="00D3192B"/>
    <w:rsid w:val="00D36405"/>
    <w:rsid w:val="00D379C5"/>
    <w:rsid w:val="00D417DF"/>
    <w:rsid w:val="00D47561"/>
    <w:rsid w:val="00D648C7"/>
    <w:rsid w:val="00D66446"/>
    <w:rsid w:val="00D66EBD"/>
    <w:rsid w:val="00D703D1"/>
    <w:rsid w:val="00D74008"/>
    <w:rsid w:val="00D74E49"/>
    <w:rsid w:val="00D80DB9"/>
    <w:rsid w:val="00D80DD1"/>
    <w:rsid w:val="00D829C0"/>
    <w:rsid w:val="00D82C36"/>
    <w:rsid w:val="00D830AC"/>
    <w:rsid w:val="00D87A7E"/>
    <w:rsid w:val="00D92E97"/>
    <w:rsid w:val="00D946D1"/>
    <w:rsid w:val="00D95AA5"/>
    <w:rsid w:val="00D97C7F"/>
    <w:rsid w:val="00DA1827"/>
    <w:rsid w:val="00DA19E7"/>
    <w:rsid w:val="00DA1CFE"/>
    <w:rsid w:val="00DA2211"/>
    <w:rsid w:val="00DA2AE3"/>
    <w:rsid w:val="00DA4A18"/>
    <w:rsid w:val="00DA6F9E"/>
    <w:rsid w:val="00DB0DE5"/>
    <w:rsid w:val="00DB6848"/>
    <w:rsid w:val="00DB6CB0"/>
    <w:rsid w:val="00DB7FF4"/>
    <w:rsid w:val="00DC7E1E"/>
    <w:rsid w:val="00DD1060"/>
    <w:rsid w:val="00DD1396"/>
    <w:rsid w:val="00DD2141"/>
    <w:rsid w:val="00DD756A"/>
    <w:rsid w:val="00DD7686"/>
    <w:rsid w:val="00DE3817"/>
    <w:rsid w:val="00DE57C5"/>
    <w:rsid w:val="00DF0F85"/>
    <w:rsid w:val="00DF1DE3"/>
    <w:rsid w:val="00DF34A8"/>
    <w:rsid w:val="00DF3C06"/>
    <w:rsid w:val="00E06036"/>
    <w:rsid w:val="00E1002B"/>
    <w:rsid w:val="00E14084"/>
    <w:rsid w:val="00E14C48"/>
    <w:rsid w:val="00E20316"/>
    <w:rsid w:val="00E206C4"/>
    <w:rsid w:val="00E210DE"/>
    <w:rsid w:val="00E34337"/>
    <w:rsid w:val="00E35E94"/>
    <w:rsid w:val="00E41CE9"/>
    <w:rsid w:val="00E421AA"/>
    <w:rsid w:val="00E438A9"/>
    <w:rsid w:val="00E4520B"/>
    <w:rsid w:val="00E464DE"/>
    <w:rsid w:val="00E46F8D"/>
    <w:rsid w:val="00E50E5E"/>
    <w:rsid w:val="00E60977"/>
    <w:rsid w:val="00E64928"/>
    <w:rsid w:val="00E655C8"/>
    <w:rsid w:val="00E700CC"/>
    <w:rsid w:val="00E70EAA"/>
    <w:rsid w:val="00E718BA"/>
    <w:rsid w:val="00E72857"/>
    <w:rsid w:val="00E735A7"/>
    <w:rsid w:val="00E73938"/>
    <w:rsid w:val="00E74E85"/>
    <w:rsid w:val="00E75654"/>
    <w:rsid w:val="00E81865"/>
    <w:rsid w:val="00E83345"/>
    <w:rsid w:val="00E84093"/>
    <w:rsid w:val="00E848D2"/>
    <w:rsid w:val="00E8614E"/>
    <w:rsid w:val="00E90DC9"/>
    <w:rsid w:val="00E90E0F"/>
    <w:rsid w:val="00E918B9"/>
    <w:rsid w:val="00E925F9"/>
    <w:rsid w:val="00E93418"/>
    <w:rsid w:val="00E96CE9"/>
    <w:rsid w:val="00EA2B2D"/>
    <w:rsid w:val="00EA49AA"/>
    <w:rsid w:val="00EA6BE7"/>
    <w:rsid w:val="00EB68B9"/>
    <w:rsid w:val="00EC0962"/>
    <w:rsid w:val="00EC38F2"/>
    <w:rsid w:val="00EC3C31"/>
    <w:rsid w:val="00ED14C8"/>
    <w:rsid w:val="00ED4269"/>
    <w:rsid w:val="00EE0D41"/>
    <w:rsid w:val="00EE1351"/>
    <w:rsid w:val="00EE7E0F"/>
    <w:rsid w:val="00EF3D21"/>
    <w:rsid w:val="00EF3F66"/>
    <w:rsid w:val="00EF5AAE"/>
    <w:rsid w:val="00EF7443"/>
    <w:rsid w:val="00EF7823"/>
    <w:rsid w:val="00F01E3D"/>
    <w:rsid w:val="00F030AE"/>
    <w:rsid w:val="00F04977"/>
    <w:rsid w:val="00F06F48"/>
    <w:rsid w:val="00F11F21"/>
    <w:rsid w:val="00F13CCA"/>
    <w:rsid w:val="00F16D64"/>
    <w:rsid w:val="00F20E45"/>
    <w:rsid w:val="00F2614C"/>
    <w:rsid w:val="00F325C8"/>
    <w:rsid w:val="00F3271C"/>
    <w:rsid w:val="00F32A63"/>
    <w:rsid w:val="00F35352"/>
    <w:rsid w:val="00F4055A"/>
    <w:rsid w:val="00F41BC8"/>
    <w:rsid w:val="00F41DED"/>
    <w:rsid w:val="00F44FAF"/>
    <w:rsid w:val="00F51C36"/>
    <w:rsid w:val="00F526C6"/>
    <w:rsid w:val="00F52DDD"/>
    <w:rsid w:val="00F55082"/>
    <w:rsid w:val="00F55B8D"/>
    <w:rsid w:val="00F56434"/>
    <w:rsid w:val="00F62FB2"/>
    <w:rsid w:val="00F65C81"/>
    <w:rsid w:val="00F71650"/>
    <w:rsid w:val="00F71A85"/>
    <w:rsid w:val="00F72833"/>
    <w:rsid w:val="00F7653B"/>
    <w:rsid w:val="00F76AEF"/>
    <w:rsid w:val="00F80ABB"/>
    <w:rsid w:val="00F844B9"/>
    <w:rsid w:val="00F84E68"/>
    <w:rsid w:val="00F87523"/>
    <w:rsid w:val="00F97B22"/>
    <w:rsid w:val="00FB0250"/>
    <w:rsid w:val="00FB1118"/>
    <w:rsid w:val="00FB19BF"/>
    <w:rsid w:val="00FB2EF5"/>
    <w:rsid w:val="00FB4D4F"/>
    <w:rsid w:val="00FB640B"/>
    <w:rsid w:val="00FB75BD"/>
    <w:rsid w:val="00FB777C"/>
    <w:rsid w:val="00FC6AF1"/>
    <w:rsid w:val="00FD0A64"/>
    <w:rsid w:val="00FD2FA7"/>
    <w:rsid w:val="00FD3DB4"/>
    <w:rsid w:val="00FD53D7"/>
    <w:rsid w:val="00FD6433"/>
    <w:rsid w:val="00FE1519"/>
    <w:rsid w:val="00FE1F6A"/>
    <w:rsid w:val="00FF06D5"/>
    <w:rsid w:val="00FF1CCC"/>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0C53"/>
    <w:rPr>
      <w:rFonts w:ascii="Tahoma" w:hAnsi="Tahoma" w:cs="Tahoma"/>
      <w:sz w:val="16"/>
      <w:szCs w:val="16"/>
    </w:rPr>
  </w:style>
  <w:style w:type="character" w:customStyle="1" w:styleId="ae">
    <w:name w:val="Текст выноски Знак"/>
    <w:basedOn w:val="a0"/>
    <w:link w:val="ad"/>
    <w:rsid w:val="0081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001">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18970133">
      <w:bodyDiv w:val="1"/>
      <w:marLeft w:val="0"/>
      <w:marRight w:val="0"/>
      <w:marTop w:val="0"/>
      <w:marBottom w:val="0"/>
      <w:divBdr>
        <w:top w:val="none" w:sz="0" w:space="0" w:color="auto"/>
        <w:left w:val="none" w:sz="0" w:space="0" w:color="auto"/>
        <w:bottom w:val="none" w:sz="0" w:space="0" w:color="auto"/>
        <w:right w:val="none" w:sz="0" w:space="0" w:color="auto"/>
      </w:divBdr>
    </w:div>
    <w:div w:id="31224480">
      <w:bodyDiv w:val="1"/>
      <w:marLeft w:val="0"/>
      <w:marRight w:val="0"/>
      <w:marTop w:val="0"/>
      <w:marBottom w:val="0"/>
      <w:divBdr>
        <w:top w:val="none" w:sz="0" w:space="0" w:color="auto"/>
        <w:left w:val="none" w:sz="0" w:space="0" w:color="auto"/>
        <w:bottom w:val="none" w:sz="0" w:space="0" w:color="auto"/>
        <w:right w:val="none" w:sz="0" w:space="0" w:color="auto"/>
      </w:divBdr>
    </w:div>
    <w:div w:id="36707527">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90204741">
      <w:bodyDiv w:val="1"/>
      <w:marLeft w:val="0"/>
      <w:marRight w:val="0"/>
      <w:marTop w:val="0"/>
      <w:marBottom w:val="0"/>
      <w:divBdr>
        <w:top w:val="none" w:sz="0" w:space="0" w:color="auto"/>
        <w:left w:val="none" w:sz="0" w:space="0" w:color="auto"/>
        <w:bottom w:val="none" w:sz="0" w:space="0" w:color="auto"/>
        <w:right w:val="none" w:sz="0" w:space="0" w:color="auto"/>
      </w:divBdr>
    </w:div>
    <w:div w:id="97340322">
      <w:bodyDiv w:val="1"/>
      <w:marLeft w:val="0"/>
      <w:marRight w:val="0"/>
      <w:marTop w:val="0"/>
      <w:marBottom w:val="0"/>
      <w:divBdr>
        <w:top w:val="none" w:sz="0" w:space="0" w:color="auto"/>
        <w:left w:val="none" w:sz="0" w:space="0" w:color="auto"/>
        <w:bottom w:val="none" w:sz="0" w:space="0" w:color="auto"/>
        <w:right w:val="none" w:sz="0" w:space="0" w:color="auto"/>
      </w:divBdr>
    </w:div>
    <w:div w:id="98960777">
      <w:bodyDiv w:val="1"/>
      <w:marLeft w:val="0"/>
      <w:marRight w:val="0"/>
      <w:marTop w:val="0"/>
      <w:marBottom w:val="0"/>
      <w:divBdr>
        <w:top w:val="none" w:sz="0" w:space="0" w:color="auto"/>
        <w:left w:val="none" w:sz="0" w:space="0" w:color="auto"/>
        <w:bottom w:val="none" w:sz="0" w:space="0" w:color="auto"/>
        <w:right w:val="none" w:sz="0" w:space="0" w:color="auto"/>
      </w:divBdr>
    </w:div>
    <w:div w:id="110561892">
      <w:bodyDiv w:val="1"/>
      <w:marLeft w:val="0"/>
      <w:marRight w:val="0"/>
      <w:marTop w:val="0"/>
      <w:marBottom w:val="0"/>
      <w:divBdr>
        <w:top w:val="none" w:sz="0" w:space="0" w:color="auto"/>
        <w:left w:val="none" w:sz="0" w:space="0" w:color="auto"/>
        <w:bottom w:val="none" w:sz="0" w:space="0" w:color="auto"/>
        <w:right w:val="none" w:sz="0" w:space="0" w:color="auto"/>
      </w:divBdr>
    </w:div>
    <w:div w:id="130365006">
      <w:bodyDiv w:val="1"/>
      <w:marLeft w:val="0"/>
      <w:marRight w:val="0"/>
      <w:marTop w:val="0"/>
      <w:marBottom w:val="0"/>
      <w:divBdr>
        <w:top w:val="none" w:sz="0" w:space="0" w:color="auto"/>
        <w:left w:val="none" w:sz="0" w:space="0" w:color="auto"/>
        <w:bottom w:val="none" w:sz="0" w:space="0" w:color="auto"/>
        <w:right w:val="none" w:sz="0" w:space="0" w:color="auto"/>
      </w:divBdr>
    </w:div>
    <w:div w:id="155189403">
      <w:bodyDiv w:val="1"/>
      <w:marLeft w:val="0"/>
      <w:marRight w:val="0"/>
      <w:marTop w:val="0"/>
      <w:marBottom w:val="0"/>
      <w:divBdr>
        <w:top w:val="none" w:sz="0" w:space="0" w:color="auto"/>
        <w:left w:val="none" w:sz="0" w:space="0" w:color="auto"/>
        <w:bottom w:val="none" w:sz="0" w:space="0" w:color="auto"/>
        <w:right w:val="none" w:sz="0" w:space="0" w:color="auto"/>
      </w:divBdr>
    </w:div>
    <w:div w:id="186410518">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1449531">
      <w:bodyDiv w:val="1"/>
      <w:marLeft w:val="0"/>
      <w:marRight w:val="0"/>
      <w:marTop w:val="0"/>
      <w:marBottom w:val="0"/>
      <w:divBdr>
        <w:top w:val="none" w:sz="0" w:space="0" w:color="auto"/>
        <w:left w:val="none" w:sz="0" w:space="0" w:color="auto"/>
        <w:bottom w:val="none" w:sz="0" w:space="0" w:color="auto"/>
        <w:right w:val="none" w:sz="0" w:space="0" w:color="auto"/>
      </w:divBdr>
    </w:div>
    <w:div w:id="22730498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4663745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6439314">
      <w:bodyDiv w:val="1"/>
      <w:marLeft w:val="0"/>
      <w:marRight w:val="0"/>
      <w:marTop w:val="0"/>
      <w:marBottom w:val="0"/>
      <w:divBdr>
        <w:top w:val="none" w:sz="0" w:space="0" w:color="auto"/>
        <w:left w:val="none" w:sz="0" w:space="0" w:color="auto"/>
        <w:bottom w:val="none" w:sz="0" w:space="0" w:color="auto"/>
        <w:right w:val="none" w:sz="0" w:space="0" w:color="auto"/>
      </w:divBdr>
    </w:div>
    <w:div w:id="399448713">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651238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
    <w:div w:id="507067098">
      <w:bodyDiv w:val="1"/>
      <w:marLeft w:val="0"/>
      <w:marRight w:val="0"/>
      <w:marTop w:val="0"/>
      <w:marBottom w:val="0"/>
      <w:divBdr>
        <w:top w:val="none" w:sz="0" w:space="0" w:color="auto"/>
        <w:left w:val="none" w:sz="0" w:space="0" w:color="auto"/>
        <w:bottom w:val="none" w:sz="0" w:space="0" w:color="auto"/>
        <w:right w:val="none" w:sz="0" w:space="0" w:color="auto"/>
      </w:divBdr>
    </w:div>
    <w:div w:id="54495223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696229">
      <w:bodyDiv w:val="1"/>
      <w:marLeft w:val="0"/>
      <w:marRight w:val="0"/>
      <w:marTop w:val="0"/>
      <w:marBottom w:val="0"/>
      <w:divBdr>
        <w:top w:val="none" w:sz="0" w:space="0" w:color="auto"/>
        <w:left w:val="none" w:sz="0" w:space="0" w:color="auto"/>
        <w:bottom w:val="none" w:sz="0" w:space="0" w:color="auto"/>
        <w:right w:val="none" w:sz="0" w:space="0" w:color="auto"/>
      </w:divBdr>
    </w:div>
    <w:div w:id="617417067">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27711947">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69260176">
      <w:bodyDiv w:val="1"/>
      <w:marLeft w:val="0"/>
      <w:marRight w:val="0"/>
      <w:marTop w:val="0"/>
      <w:marBottom w:val="0"/>
      <w:divBdr>
        <w:top w:val="none" w:sz="0" w:space="0" w:color="auto"/>
        <w:left w:val="none" w:sz="0" w:space="0" w:color="auto"/>
        <w:bottom w:val="none" w:sz="0" w:space="0" w:color="auto"/>
        <w:right w:val="none" w:sz="0" w:space="0" w:color="auto"/>
      </w:divBdr>
    </w:div>
    <w:div w:id="719521412">
      <w:bodyDiv w:val="1"/>
      <w:marLeft w:val="0"/>
      <w:marRight w:val="0"/>
      <w:marTop w:val="0"/>
      <w:marBottom w:val="0"/>
      <w:divBdr>
        <w:top w:val="none" w:sz="0" w:space="0" w:color="auto"/>
        <w:left w:val="none" w:sz="0" w:space="0" w:color="auto"/>
        <w:bottom w:val="none" w:sz="0" w:space="0" w:color="auto"/>
        <w:right w:val="none" w:sz="0" w:space="0" w:color="auto"/>
      </w:divBdr>
    </w:div>
    <w:div w:id="724762632">
      <w:bodyDiv w:val="1"/>
      <w:marLeft w:val="0"/>
      <w:marRight w:val="0"/>
      <w:marTop w:val="0"/>
      <w:marBottom w:val="0"/>
      <w:divBdr>
        <w:top w:val="none" w:sz="0" w:space="0" w:color="auto"/>
        <w:left w:val="none" w:sz="0" w:space="0" w:color="auto"/>
        <w:bottom w:val="none" w:sz="0" w:space="0" w:color="auto"/>
        <w:right w:val="none" w:sz="0" w:space="0" w:color="auto"/>
      </w:divBdr>
    </w:div>
    <w:div w:id="732243122">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6751819">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2438600">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396195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9469113">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73035458">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0893038">
      <w:bodyDiv w:val="1"/>
      <w:marLeft w:val="0"/>
      <w:marRight w:val="0"/>
      <w:marTop w:val="0"/>
      <w:marBottom w:val="0"/>
      <w:divBdr>
        <w:top w:val="none" w:sz="0" w:space="0" w:color="auto"/>
        <w:left w:val="none" w:sz="0" w:space="0" w:color="auto"/>
        <w:bottom w:val="none" w:sz="0" w:space="0" w:color="auto"/>
        <w:right w:val="none" w:sz="0" w:space="0" w:color="auto"/>
      </w:divBdr>
    </w:div>
    <w:div w:id="957219356">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3566227">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0503071">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46569057">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74399563">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102609085">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3177475">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0649759">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88958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75790897">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296837242">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8649541">
      <w:bodyDiv w:val="1"/>
      <w:marLeft w:val="0"/>
      <w:marRight w:val="0"/>
      <w:marTop w:val="0"/>
      <w:marBottom w:val="0"/>
      <w:divBdr>
        <w:top w:val="none" w:sz="0" w:space="0" w:color="auto"/>
        <w:left w:val="none" w:sz="0" w:space="0" w:color="auto"/>
        <w:bottom w:val="none" w:sz="0" w:space="0" w:color="auto"/>
        <w:right w:val="none" w:sz="0" w:space="0" w:color="auto"/>
      </w:divBdr>
    </w:div>
    <w:div w:id="1354308517">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6375166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5851681">
      <w:bodyDiv w:val="1"/>
      <w:marLeft w:val="0"/>
      <w:marRight w:val="0"/>
      <w:marTop w:val="0"/>
      <w:marBottom w:val="0"/>
      <w:divBdr>
        <w:top w:val="none" w:sz="0" w:space="0" w:color="auto"/>
        <w:left w:val="none" w:sz="0" w:space="0" w:color="auto"/>
        <w:bottom w:val="none" w:sz="0" w:space="0" w:color="auto"/>
        <w:right w:val="none" w:sz="0" w:space="0" w:color="auto"/>
      </w:divBdr>
    </w:div>
    <w:div w:id="1408965405">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0029025">
      <w:bodyDiv w:val="1"/>
      <w:marLeft w:val="0"/>
      <w:marRight w:val="0"/>
      <w:marTop w:val="0"/>
      <w:marBottom w:val="0"/>
      <w:divBdr>
        <w:top w:val="none" w:sz="0" w:space="0" w:color="auto"/>
        <w:left w:val="none" w:sz="0" w:space="0" w:color="auto"/>
        <w:bottom w:val="none" w:sz="0" w:space="0" w:color="auto"/>
        <w:right w:val="none" w:sz="0" w:space="0" w:color="auto"/>
      </w:divBdr>
    </w:div>
    <w:div w:id="1498498786">
      <w:bodyDiv w:val="1"/>
      <w:marLeft w:val="0"/>
      <w:marRight w:val="0"/>
      <w:marTop w:val="0"/>
      <w:marBottom w:val="0"/>
      <w:divBdr>
        <w:top w:val="none" w:sz="0" w:space="0" w:color="auto"/>
        <w:left w:val="none" w:sz="0" w:space="0" w:color="auto"/>
        <w:bottom w:val="none" w:sz="0" w:space="0" w:color="auto"/>
        <w:right w:val="none" w:sz="0" w:space="0" w:color="auto"/>
      </w:divBdr>
    </w:div>
    <w:div w:id="149895641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0861295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877034">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36138628">
      <w:bodyDiv w:val="1"/>
      <w:marLeft w:val="0"/>
      <w:marRight w:val="0"/>
      <w:marTop w:val="0"/>
      <w:marBottom w:val="0"/>
      <w:divBdr>
        <w:top w:val="none" w:sz="0" w:space="0" w:color="auto"/>
        <w:left w:val="none" w:sz="0" w:space="0" w:color="auto"/>
        <w:bottom w:val="none" w:sz="0" w:space="0" w:color="auto"/>
        <w:right w:val="none" w:sz="0" w:space="0" w:color="auto"/>
      </w:divBdr>
    </w:div>
    <w:div w:id="165140384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7465417">
      <w:bodyDiv w:val="1"/>
      <w:marLeft w:val="0"/>
      <w:marRight w:val="0"/>
      <w:marTop w:val="0"/>
      <w:marBottom w:val="0"/>
      <w:divBdr>
        <w:top w:val="none" w:sz="0" w:space="0" w:color="auto"/>
        <w:left w:val="none" w:sz="0" w:space="0" w:color="auto"/>
        <w:bottom w:val="none" w:sz="0" w:space="0" w:color="auto"/>
        <w:right w:val="none" w:sz="0" w:space="0" w:color="auto"/>
      </w:divBdr>
    </w:div>
    <w:div w:id="1698850160">
      <w:bodyDiv w:val="1"/>
      <w:marLeft w:val="0"/>
      <w:marRight w:val="0"/>
      <w:marTop w:val="0"/>
      <w:marBottom w:val="0"/>
      <w:divBdr>
        <w:top w:val="none" w:sz="0" w:space="0" w:color="auto"/>
        <w:left w:val="none" w:sz="0" w:space="0" w:color="auto"/>
        <w:bottom w:val="none" w:sz="0" w:space="0" w:color="auto"/>
        <w:right w:val="none" w:sz="0" w:space="0" w:color="auto"/>
      </w:divBdr>
    </w:div>
    <w:div w:id="1716000214">
      <w:bodyDiv w:val="1"/>
      <w:marLeft w:val="0"/>
      <w:marRight w:val="0"/>
      <w:marTop w:val="0"/>
      <w:marBottom w:val="0"/>
      <w:divBdr>
        <w:top w:val="none" w:sz="0" w:space="0" w:color="auto"/>
        <w:left w:val="none" w:sz="0" w:space="0" w:color="auto"/>
        <w:bottom w:val="none" w:sz="0" w:space="0" w:color="auto"/>
        <w:right w:val="none" w:sz="0" w:space="0" w:color="auto"/>
      </w:divBdr>
    </w:div>
    <w:div w:id="1731147577">
      <w:bodyDiv w:val="1"/>
      <w:marLeft w:val="0"/>
      <w:marRight w:val="0"/>
      <w:marTop w:val="0"/>
      <w:marBottom w:val="0"/>
      <w:divBdr>
        <w:top w:val="none" w:sz="0" w:space="0" w:color="auto"/>
        <w:left w:val="none" w:sz="0" w:space="0" w:color="auto"/>
        <w:bottom w:val="none" w:sz="0" w:space="0" w:color="auto"/>
        <w:right w:val="none" w:sz="0" w:space="0" w:color="auto"/>
      </w:divBdr>
    </w:div>
    <w:div w:id="1733692815">
      <w:bodyDiv w:val="1"/>
      <w:marLeft w:val="0"/>
      <w:marRight w:val="0"/>
      <w:marTop w:val="0"/>
      <w:marBottom w:val="0"/>
      <w:divBdr>
        <w:top w:val="none" w:sz="0" w:space="0" w:color="auto"/>
        <w:left w:val="none" w:sz="0" w:space="0" w:color="auto"/>
        <w:bottom w:val="none" w:sz="0" w:space="0" w:color="auto"/>
        <w:right w:val="none" w:sz="0" w:space="0" w:color="auto"/>
      </w:divBdr>
    </w:div>
    <w:div w:id="173697194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5944511">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84694456">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7878057">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17612879">
      <w:bodyDiv w:val="1"/>
      <w:marLeft w:val="0"/>
      <w:marRight w:val="0"/>
      <w:marTop w:val="0"/>
      <w:marBottom w:val="0"/>
      <w:divBdr>
        <w:top w:val="none" w:sz="0" w:space="0" w:color="auto"/>
        <w:left w:val="none" w:sz="0" w:space="0" w:color="auto"/>
        <w:bottom w:val="none" w:sz="0" w:space="0" w:color="auto"/>
        <w:right w:val="none" w:sz="0" w:space="0" w:color="auto"/>
      </w:divBdr>
    </w:div>
    <w:div w:id="203241410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2313716">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 w:id="2086415263">
      <w:bodyDiv w:val="1"/>
      <w:marLeft w:val="0"/>
      <w:marRight w:val="0"/>
      <w:marTop w:val="0"/>
      <w:marBottom w:val="0"/>
      <w:divBdr>
        <w:top w:val="none" w:sz="0" w:space="0" w:color="auto"/>
        <w:left w:val="none" w:sz="0" w:space="0" w:color="auto"/>
        <w:bottom w:val="none" w:sz="0" w:space="0" w:color="auto"/>
        <w:right w:val="none" w:sz="0" w:space="0" w:color="auto"/>
      </w:divBdr>
    </w:div>
    <w:div w:id="2097511491">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046365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391402838130715"/>
          <c:y val="0.92063492063492069"/>
        </c:manualLayout>
      </c:layout>
    </c:title>
    <c:view3D>
      <c:perspective val="0"/>
    </c:view3D>
    <c:plotArea>
      <c:layout>
        <c:manualLayout>
          <c:layoutTarget val="inner"/>
          <c:xMode val="edge"/>
          <c:yMode val="edge"/>
          <c:x val="0.14328358208955225"/>
          <c:y val="0.30158847031743008"/>
          <c:w val="0.71641791044776049"/>
          <c:h val="0.3769855878967843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1.6597510373443983E-2"/>
                  <c:y val="0.11757155355580552"/>
                </c:manualLayout>
              </c:layout>
              <c:dLblPos val="bestFit"/>
              <c:showCatName val="1"/>
              <c:showPercent val="1"/>
            </c:dLbl>
            <c:dLbl>
              <c:idx val="1"/>
              <c:layout>
                <c:manualLayout>
                  <c:x val="1.7702268544232801E-2"/>
                  <c:y val="-0.10714993959088441"/>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СВОДНЫЙ'!$A$153:$A$154</c:f>
              <c:strCache>
                <c:ptCount val="2"/>
                <c:pt idx="0">
                  <c:v>продажа</c:v>
                </c:pt>
                <c:pt idx="1">
                  <c:v>аренда</c:v>
                </c:pt>
              </c:strCache>
            </c:strRef>
          </c:cat>
          <c:val>
            <c:numRef>
              <c:f>'Анализ рынка СВОДНЫЙ'!$DU$153:$DU$154</c:f>
              <c:numCache>
                <c:formatCode>#,##0</c:formatCode>
                <c:ptCount val="2"/>
                <c:pt idx="0">
                  <c:v>53</c:v>
                </c:pt>
                <c:pt idx="1">
                  <c:v>51</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p>
        </c:rich>
      </c:tx>
      <c:layout>
        <c:manualLayout>
          <c:xMode val="edge"/>
          <c:yMode val="edge"/>
          <c:x val="0.62497903529694065"/>
          <c:y val="0.91367861885790169"/>
        </c:manualLayout>
      </c:layout>
    </c:title>
    <c:view3D>
      <c:perspective val="0"/>
    </c:view3D>
    <c:plotArea>
      <c:layout>
        <c:manualLayout>
          <c:layoutTarget val="inner"/>
          <c:xMode val="edge"/>
          <c:yMode val="edge"/>
          <c:x val="0.12462006079027454"/>
          <c:y val="0.31075697211155745"/>
          <c:w val="0.75379939209726465"/>
          <c:h val="0.39043824701195584"/>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1.8465492643295181E-2"/>
                  <c:y val="-0.19932657820162811"/>
                </c:manualLayout>
              </c:layout>
              <c:dLblPos val="bestFit"/>
              <c:showCatName val="1"/>
              <c:showPercent val="1"/>
            </c:dLbl>
            <c:dLbl>
              <c:idx val="1"/>
              <c:layout>
                <c:manualLayout>
                  <c:x val="0.12591934306966968"/>
                  <c:y val="6.4274137047610119E-2"/>
                </c:manualLayout>
              </c:layout>
              <c:dLblPos val="bestFit"/>
              <c:showCatName val="1"/>
              <c:showPercent val="1"/>
            </c:dLbl>
            <c:dLbl>
              <c:idx val="2"/>
              <c:layout>
                <c:manualLayout>
                  <c:x val="7.9297764128032598E-3"/>
                  <c:y val="-5.379343518315202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СВОДНЫЙ'!$A$87:$A$90</c:f>
              <c:strCache>
                <c:ptCount val="4"/>
                <c:pt idx="0">
                  <c:v>Юго-запад</c:v>
                </c:pt>
                <c:pt idx="1">
                  <c:v>Северо-запад</c:v>
                </c:pt>
                <c:pt idx="2">
                  <c:v>Центр</c:v>
                </c:pt>
                <c:pt idx="3">
                  <c:v>Другие</c:v>
                </c:pt>
              </c:strCache>
            </c:strRef>
          </c:cat>
          <c:val>
            <c:numRef>
              <c:f>'Анализ рынка СВОДНЫЙ'!$DU$87:$DU$90</c:f>
              <c:numCache>
                <c:formatCode>#,##0</c:formatCode>
                <c:ptCount val="4"/>
                <c:pt idx="0">
                  <c:v>20</c:v>
                </c:pt>
                <c:pt idx="1">
                  <c:v>10</c:v>
                </c:pt>
                <c:pt idx="2">
                  <c:v>15</c:v>
                </c:pt>
                <c:pt idx="3">
                  <c:v>6</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1599597380424533"/>
          <c:y val="0.92607526881720426"/>
        </c:manualLayout>
      </c:layout>
      <c:spPr>
        <a:noFill/>
        <a:ln w="25400">
          <a:noFill/>
        </a:ln>
      </c:spPr>
    </c:title>
    <c:view3D>
      <c:rotX val="31"/>
      <c:hPercent val="71"/>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344996927187124E-2"/>
          <c:y val="1.6129032258064523E-2"/>
          <c:w val="0.92816352416578041"/>
          <c:h val="0.84811827956990005"/>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3389253313120692E-2"/>
                  <c:y val="-5.2653262254926524E-2"/>
                </c:manualLayout>
              </c:layout>
              <c:showVal val="1"/>
            </c:dLbl>
            <c:dLbl>
              <c:idx val="1"/>
              <c:layout>
                <c:manualLayout>
                  <c:x val="3.0902721417780932E-2"/>
                  <c:y val="-6.9975475407670629E-2"/>
                </c:manualLayout>
              </c:layout>
              <c:showVal val="1"/>
            </c:dLbl>
            <c:dLbl>
              <c:idx val="2"/>
              <c:layout>
                <c:manualLayout>
                  <c:x val="4.1405061059467223E-2"/>
                  <c:y val="-1.9260812371969523E-2"/>
                </c:manualLayout>
              </c:layout>
              <c:showVal val="1"/>
            </c:dLbl>
            <c:dLbl>
              <c:idx val="3"/>
              <c:layout>
                <c:manualLayout>
                  <c:x val="5.1907400701153614E-2"/>
                  <c:y val="-6.075754853445226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СВОДНЫЙ'!$A$39:$A$42</c:f>
              <c:strCache>
                <c:ptCount val="4"/>
                <c:pt idx="0">
                  <c:v>Юго-запад</c:v>
                </c:pt>
                <c:pt idx="1">
                  <c:v>Северо-запад</c:v>
                </c:pt>
                <c:pt idx="2">
                  <c:v>Центр</c:v>
                </c:pt>
                <c:pt idx="3">
                  <c:v>Другие</c:v>
                </c:pt>
              </c:strCache>
            </c:strRef>
          </c:cat>
          <c:val>
            <c:numRef>
              <c:f>'Анализ рынка СВОДНЫЙ'!$DU$39:$DU$42</c:f>
              <c:numCache>
                <c:formatCode>#,##0</c:formatCode>
                <c:ptCount val="4"/>
                <c:pt idx="0">
                  <c:v>546</c:v>
                </c:pt>
                <c:pt idx="1">
                  <c:v>518</c:v>
                </c:pt>
                <c:pt idx="2">
                  <c:v>884</c:v>
                </c:pt>
                <c:pt idx="3">
                  <c:v>488</c:v>
                </c:pt>
              </c:numCache>
            </c:numRef>
          </c:val>
        </c:ser>
        <c:dLbls>
          <c:showVal val="1"/>
        </c:dLbls>
        <c:shape val="box"/>
        <c:axId val="129017728"/>
        <c:axId val="129019264"/>
        <c:axId val="0"/>
      </c:bar3DChart>
      <c:catAx>
        <c:axId val="12901772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9019264"/>
        <c:crosses val="autoZero"/>
        <c:auto val="1"/>
        <c:lblAlgn val="ctr"/>
        <c:lblOffset val="100"/>
        <c:tickLblSkip val="1"/>
        <c:tickMarkSkip val="1"/>
      </c:catAx>
      <c:valAx>
        <c:axId val="12901926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9017728"/>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035108953350373"/>
          <c:y val="0.62601626016260159"/>
        </c:manualLayout>
      </c:layout>
    </c:title>
    <c:plotArea>
      <c:layout>
        <c:manualLayout>
          <c:layoutTarget val="inner"/>
          <c:xMode val="edge"/>
          <c:yMode val="edge"/>
          <c:x val="9.5655374684383426E-2"/>
          <c:y val="0.11788617886178862"/>
          <c:w val="0.85340622577618208"/>
          <c:h val="0.6258671019781063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ГОДОВОЙ'!$B$31:$L$31</c:f>
              <c:numCache>
                <c:formatCode>#,##0</c:formatCode>
                <c:ptCount val="11"/>
                <c:pt idx="0">
                  <c:v>578.8234652755184</c:v>
                </c:pt>
                <c:pt idx="1">
                  <c:v>510.41666666666674</c:v>
                </c:pt>
                <c:pt idx="2">
                  <c:v>540.58333333333417</c:v>
                </c:pt>
                <c:pt idx="3">
                  <c:v>587.8333333333336</c:v>
                </c:pt>
                <c:pt idx="4">
                  <c:v>676.66666666666663</c:v>
                </c:pt>
                <c:pt idx="5">
                  <c:v>717.16666666666663</c:v>
                </c:pt>
                <c:pt idx="6">
                  <c:v>641.04669024999998</c:v>
                </c:pt>
                <c:pt idx="7">
                  <c:v>619</c:v>
                </c:pt>
                <c:pt idx="8">
                  <c:v>600</c:v>
                </c:pt>
                <c:pt idx="9">
                  <c:v>557.25</c:v>
                </c:pt>
                <c:pt idx="10">
                  <c:v>640.58333333333417</c:v>
                </c:pt>
              </c:numCache>
            </c:numRef>
          </c:val>
          <c:smooth val="1"/>
        </c:ser>
        <c:dLbls>
          <c:showVal val="1"/>
        </c:dLbls>
        <c:marker val="1"/>
        <c:axId val="129043456"/>
        <c:axId val="129065728"/>
      </c:lineChart>
      <c:catAx>
        <c:axId val="129043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065728"/>
        <c:crosses val="autoZero"/>
        <c:lblAlgn val="ctr"/>
        <c:lblOffset val="100"/>
        <c:tickLblSkip val="1"/>
        <c:tickMarkSkip val="1"/>
      </c:catAx>
      <c:valAx>
        <c:axId val="129065728"/>
        <c:scaling>
          <c:orientation val="minMax"/>
          <c:max val="1150"/>
          <c:min val="5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043456"/>
        <c:crosses val="autoZero"/>
        <c:crossBetween val="midCat"/>
        <c:majorUnit val="27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650333992611058"/>
          <c:y val="0.61788617886178854"/>
        </c:manualLayout>
      </c:layout>
    </c:title>
    <c:plotArea>
      <c:layout>
        <c:manualLayout>
          <c:layoutTarget val="inner"/>
          <c:xMode val="edge"/>
          <c:yMode val="edge"/>
          <c:x val="9.6026006227894728E-2"/>
          <c:y val="8.5365853658536647E-2"/>
          <c:w val="0.85445319335083114"/>
          <c:h val="0.6583874271813584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ГОДОВОЙ'!$B$30:$L$30</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ГОДОВОЙ'!$B$32:$L$32</c:f>
              <c:numCache>
                <c:formatCode>0%</c:formatCode>
                <c:ptCount val="11"/>
                <c:pt idx="0">
                  <c:v>1</c:v>
                </c:pt>
                <c:pt idx="1">
                  <c:v>0.88181750963345906</c:v>
                </c:pt>
                <c:pt idx="2">
                  <c:v>0.93393472408036649</c:v>
                </c:pt>
                <c:pt idx="3">
                  <c:v>1.0155658306864359</c:v>
                </c:pt>
                <c:pt idx="4">
                  <c:v>1.1690380699140721</c:v>
                </c:pt>
                <c:pt idx="5">
                  <c:v>1.2390075898621302</c:v>
                </c:pt>
                <c:pt idx="6">
                  <c:v>1.1074994859527048</c:v>
                </c:pt>
                <c:pt idx="7">
                  <c:v>1.069410687601196</c:v>
                </c:pt>
                <c:pt idx="8">
                  <c:v>1.0365854807119845</c:v>
                </c:pt>
                <c:pt idx="9">
                  <c:v>0.9627287652112555</c:v>
                </c:pt>
                <c:pt idx="10">
                  <c:v>1.106698970865698</c:v>
                </c:pt>
              </c:numCache>
            </c:numRef>
          </c:val>
          <c:smooth val="1"/>
        </c:ser>
        <c:dLbls>
          <c:showVal val="1"/>
        </c:dLbls>
        <c:marker val="1"/>
        <c:axId val="129089920"/>
        <c:axId val="129091456"/>
      </c:lineChart>
      <c:catAx>
        <c:axId val="129089920"/>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091456"/>
        <c:crosses val="autoZero"/>
        <c:lblAlgn val="ctr"/>
        <c:lblOffset val="100"/>
        <c:tickLblSkip val="1"/>
        <c:tickMarkSkip val="1"/>
      </c:catAx>
      <c:valAx>
        <c:axId val="129091456"/>
        <c:scaling>
          <c:orientation val="minMax"/>
          <c:max val="1.6"/>
          <c:min val="0.2"/>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089920"/>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018422567645369"/>
          <c:y val="0.75268817204301897"/>
        </c:manualLayout>
      </c:layout>
    </c:title>
    <c:plotArea>
      <c:layout>
        <c:manualLayout>
          <c:layoutTarget val="inner"/>
          <c:xMode val="edge"/>
          <c:yMode val="edge"/>
          <c:x val="9.6513301284244665E-2"/>
          <c:y val="3.6706250084534896E-2"/>
          <c:w val="0.83419689119170981"/>
          <c:h val="0.79991956650579965"/>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9.389932420603769E-3"/>
                  <c:y val="-5.0231241249497585E-2"/>
                </c:manualLayout>
              </c:layout>
              <c:dLblPos val="r"/>
              <c:showVal val="1"/>
            </c:dLbl>
            <c:dLbl>
              <c:idx val="1"/>
              <c:layout>
                <c:manualLayout>
                  <c:x val="-2.7902250987368402E-2"/>
                  <c:y val="-5.777145369036786E-2"/>
                </c:manualLayout>
              </c:layout>
              <c:dLblPos val="r"/>
              <c:showVal val="1"/>
            </c:dLbl>
            <c:dLbl>
              <c:idx val="2"/>
              <c:layout>
                <c:manualLayout>
                  <c:x val="-3.3191602962265782E-2"/>
                  <c:y val="-5.811624770688955E-2"/>
                </c:manualLayout>
              </c:layout>
              <c:dLblPos val="r"/>
              <c:showVal val="1"/>
            </c:dLbl>
            <c:dLbl>
              <c:idx val="3"/>
              <c:layout>
                <c:manualLayout>
                  <c:x val="-2.8563425661262003E-2"/>
                  <c:y val="-6.2434183464614629E-2"/>
                </c:manualLayout>
              </c:layout>
              <c:dLblPos val="r"/>
              <c:showVal val="1"/>
            </c:dLbl>
            <c:dLbl>
              <c:idx val="4"/>
              <c:layout>
                <c:manualLayout>
                  <c:x val="-3.5505670198142866E-2"/>
                  <c:y val="-6.802428539093941E-2"/>
                </c:manualLayout>
              </c:layout>
              <c:dLblPos val="r"/>
              <c:showVal val="1"/>
            </c:dLbl>
            <c:dLbl>
              <c:idx val="5"/>
              <c:layout>
                <c:manualLayout>
                  <c:x val="-3.3430688481669871E-2"/>
                  <c:y val="-5.7580721269589102E-2"/>
                </c:manualLayout>
              </c:layout>
              <c:dLblPos val="r"/>
              <c:showVal val="1"/>
            </c:dLbl>
            <c:dLbl>
              <c:idx val="6"/>
              <c:layout>
                <c:manualLayout>
                  <c:x val="-3.578907182056789E-2"/>
                  <c:y val="-5.9109304885276513E-2"/>
                </c:manualLayout>
              </c:layout>
              <c:dLblPos val="r"/>
              <c:showVal val="1"/>
            </c:dLbl>
            <c:dLbl>
              <c:idx val="7"/>
              <c:layout>
                <c:manualLayout>
                  <c:x val="-2.5234159779614684E-2"/>
                  <c:y val="-8.1333079332825312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3278236914600591"/>
                  <c:y val="-0.1006134112268224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1030303030303028"/>
                  <c:y val="-6.8795190923716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253443526170812"/>
                  <c:y val="7.3778680890696042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80716253443508"/>
                  <c:y val="-9.128778257556514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20110192837471"/>
                  <c:y val="-0.1028016256032512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498622589531856"/>
                  <c:y val="-0.11008170349674036"/>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СВОДНЫЙ'!$Y$43:$DU$43</c:f>
              <c:numCache>
                <c:formatCode>#,##0</c:formatCode>
                <c:ptCount val="6"/>
                <c:pt idx="0">
                  <c:v>662</c:v>
                </c:pt>
                <c:pt idx="1">
                  <c:v>689</c:v>
                </c:pt>
                <c:pt idx="2">
                  <c:v>715</c:v>
                </c:pt>
                <c:pt idx="3">
                  <c:v>691</c:v>
                </c:pt>
                <c:pt idx="4">
                  <c:v>614</c:v>
                </c:pt>
                <c:pt idx="5">
                  <c:v>633</c:v>
                </c:pt>
              </c:numCache>
            </c:numRef>
          </c:val>
          <c:smooth val="1"/>
        </c:ser>
        <c:dLbls>
          <c:showVal val="1"/>
        </c:dLbls>
        <c:marker val="1"/>
        <c:axId val="129180032"/>
        <c:axId val="129181568"/>
      </c:lineChart>
      <c:catAx>
        <c:axId val="129180032"/>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9181568"/>
        <c:crosses val="autoZero"/>
        <c:lblAlgn val="ctr"/>
        <c:lblOffset val="100"/>
        <c:tickLblSkip val="1"/>
        <c:tickMarkSkip val="1"/>
      </c:catAx>
      <c:valAx>
        <c:axId val="129181568"/>
        <c:scaling>
          <c:orientation val="minMax"/>
          <c:max val="1150"/>
          <c:min val="5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180032"/>
        <c:crosses val="autoZero"/>
        <c:crossBetween val="midCat"/>
        <c:majorUnit val="27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3655913978494558"/>
        </c:manualLayout>
      </c:layout>
    </c:title>
    <c:plotArea>
      <c:layout>
        <c:manualLayout>
          <c:layoutTarget val="inner"/>
          <c:xMode val="edge"/>
          <c:yMode val="edge"/>
          <c:x val="7.5146554547980082E-2"/>
          <c:y val="3.2226664333867228E-2"/>
          <c:w val="0.85816571506760708"/>
          <c:h val="0.81255397510794303"/>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4286359603253343E-2"/>
                  <c:y val="-4.0329607593351462E-2"/>
                </c:manualLayout>
              </c:layout>
              <c:dLblPos val="r"/>
              <c:showVal val="1"/>
            </c:dLbl>
            <c:dLbl>
              <c:idx val="1"/>
              <c:layout>
                <c:manualLayout>
                  <c:x val="-2.5470629146957028E-2"/>
                  <c:y val="-6.2100982215276192E-2"/>
                </c:manualLayout>
              </c:layout>
              <c:dLblPos val="r"/>
              <c:showVal val="1"/>
            </c:dLbl>
            <c:dLbl>
              <c:idx val="2"/>
              <c:layout>
                <c:manualLayout>
                  <c:x val="-3.0075778143804559E-2"/>
                  <c:y val="-5.8989220417060707E-2"/>
                </c:manualLayout>
              </c:layout>
              <c:dLblPos val="r"/>
              <c:showVal val="1"/>
            </c:dLbl>
            <c:dLbl>
              <c:idx val="3"/>
              <c:layout>
                <c:manualLayout>
                  <c:x val="-5.6062646774416414E-2"/>
                  <c:y val="-5.7377868089069466E-2"/>
                </c:manualLayout>
              </c:layout>
              <c:dLblPos val="r"/>
              <c:showVal val="1"/>
            </c:dLbl>
            <c:dLbl>
              <c:idx val="4"/>
              <c:layout>
                <c:manualLayout>
                  <c:x val="-6.3409138002486529E-2"/>
                  <c:y val="-5.8528913724494105E-2"/>
                </c:manualLayout>
              </c:layout>
              <c:dLblPos val="r"/>
              <c:showVal val="1"/>
            </c:dLbl>
            <c:dLbl>
              <c:idx val="5"/>
              <c:layout>
                <c:manualLayout>
                  <c:x val="-5.4710768061887002E-2"/>
                  <c:y val="-5.2422741512149734E-2"/>
                </c:manualLayout>
              </c:layout>
              <c:dLblPos val="r"/>
              <c:showVal val="1"/>
            </c:dLbl>
            <c:dLbl>
              <c:idx val="6"/>
              <c:layout>
                <c:manualLayout>
                  <c:x val="-3.6452030667219762E-2"/>
                  <c:y val="-5.927059520785706E-2"/>
                </c:manualLayout>
              </c:layout>
              <c:dLblPos val="r"/>
              <c:showVal val="1"/>
            </c:dLbl>
            <c:dLbl>
              <c:idx val="7"/>
              <c:layout>
                <c:manualLayout>
                  <c:x val="-2.2018579914352809E-2"/>
                  <c:y val="-6.1898230463127812E-2"/>
                </c:manualLayout>
              </c:layout>
              <c:dLblPos val="r"/>
              <c:showVal val="1"/>
            </c:dLbl>
            <c:dLbl>
              <c:idx val="8"/>
              <c:layout>
                <c:manualLayout>
                  <c:x val="-6.0274899848045432E-2"/>
                  <c:y val="0.28764372195411081"/>
                </c:manualLayout>
              </c:layout>
              <c:dLblPos val="r"/>
              <c:showVal val="1"/>
            </c:dLbl>
            <c:dLbl>
              <c:idx val="9"/>
              <c:layout>
                <c:manualLayout>
                  <c:x val="-7.8246304738223499E-2"/>
                  <c:y val="0.38269028871391081"/>
                </c:manualLayout>
              </c:layout>
              <c:dLblPos val="r"/>
              <c:showVal val="1"/>
            </c:dLbl>
            <c:dLbl>
              <c:idx val="10"/>
              <c:layout>
                <c:manualLayout>
                  <c:x val="-7.6480867523138499E-2"/>
                  <c:y val="0.46564050461434281"/>
                </c:manualLayout>
              </c:layout>
              <c:dLblPos val="r"/>
              <c:showVal val="1"/>
            </c:dLbl>
            <c:dLbl>
              <c:idx val="11"/>
              <c:layout>
                <c:manualLayout>
                  <c:x val="-8.2939114518579882E-2"/>
                  <c:y val="0.40319701972737276"/>
                </c:manualLayout>
              </c:layout>
              <c:dLblPos val="r"/>
              <c:showVal val="1"/>
            </c:dLbl>
            <c:dLbl>
              <c:idx val="12"/>
              <c:layout>
                <c:manualLayout>
                  <c:x val="-9.3235080812267043E-2"/>
                  <c:y val="0.3597642028617391"/>
                </c:manualLayout>
              </c:layout>
              <c:dLblPos val="r"/>
              <c:showVal val="1"/>
            </c:dLbl>
            <c:dLbl>
              <c:idx val="13"/>
              <c:layout>
                <c:manualLayout>
                  <c:x val="-7.9956313026661133E-2"/>
                  <c:y val="0.2898310896621793"/>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СВОДНЫЙ'!$CX$38:$DU$38</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СВОДНЫЙ'!$CX$44:$DU$44</c:f>
              <c:numCache>
                <c:formatCode>0%</c:formatCode>
                <c:ptCount val="6"/>
                <c:pt idx="0">
                  <c:v>1.1436993137188896</c:v>
                </c:pt>
                <c:pt idx="1">
                  <c:v>1.190345660350929</c:v>
                </c:pt>
                <c:pt idx="2">
                  <c:v>1.2352643645151147</c:v>
                </c:pt>
                <c:pt idx="3">
                  <c:v>1.1938009452866356</c:v>
                </c:pt>
                <c:pt idx="4">
                  <c:v>1.0607724752619307</c:v>
                </c:pt>
                <c:pt idx="5">
                  <c:v>1.0935976821511433</c:v>
                </c:pt>
              </c:numCache>
            </c:numRef>
          </c:val>
          <c:smooth val="1"/>
        </c:ser>
        <c:dLbls>
          <c:showVal val="1"/>
        </c:dLbls>
        <c:marker val="1"/>
        <c:axId val="129205760"/>
        <c:axId val="129207296"/>
      </c:lineChart>
      <c:catAx>
        <c:axId val="129205760"/>
        <c:scaling>
          <c:orientation val="minMax"/>
        </c:scaling>
        <c:axPos val="b"/>
        <c:numFmt formatCode="#,##0"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9207296"/>
        <c:crosses val="autoZero"/>
        <c:lblAlgn val="ctr"/>
        <c:lblOffset val="100"/>
        <c:tickLblSkip val="1"/>
        <c:tickMarkSkip val="1"/>
      </c:catAx>
      <c:valAx>
        <c:axId val="129207296"/>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9205760"/>
        <c:crosses val="autoZero"/>
        <c:crossBetween val="midCat"/>
        <c:majorUnit val="0.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205"/>
        </c:manualLayout>
      </c:layout>
    </c:title>
    <c:view3D>
      <c:perspective val="0"/>
    </c:view3D>
    <c:plotArea>
      <c:layout>
        <c:manualLayout>
          <c:layoutTarget val="inner"/>
          <c:xMode val="edge"/>
          <c:yMode val="edge"/>
          <c:x val="0.16918453960615837"/>
          <c:y val="0.35317597181909327"/>
          <c:w val="0.6706958534387238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93E-2"/>
                </c:manualLayout>
              </c:layout>
              <c:dLblPos val="bestFit"/>
              <c:showCatName val="1"/>
              <c:showPercent val="1"/>
            </c:dLbl>
            <c:dLbl>
              <c:idx val="1"/>
              <c:layout>
                <c:manualLayout>
                  <c:x val="2.223509251426259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СВОДНЫЙ'!$DU$126:$DU$128</c:f>
              <c:numCache>
                <c:formatCode>#,##0</c:formatCode>
                <c:ptCount val="3"/>
                <c:pt idx="0">
                  <c:v>53</c:v>
                </c:pt>
                <c:pt idx="1">
                  <c:v>41</c:v>
                </c:pt>
                <c:pt idx="2">
                  <c:v>21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944653183912179"/>
          <c:y val="0.92307692307692257"/>
        </c:manualLayout>
      </c:layout>
    </c:title>
    <c:view3D>
      <c:perspective val="0"/>
    </c:view3D>
    <c:plotArea>
      <c:layout>
        <c:manualLayout>
          <c:layoutTarget val="inner"/>
          <c:xMode val="edge"/>
          <c:yMode val="edge"/>
          <c:x val="0.11550151975683892"/>
          <c:y val="0.29554714295598539"/>
          <c:w val="0.77203647416414101"/>
          <c:h val="0.40890769093910673"/>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3.2424390934535675E-2"/>
                  <c:y val="-0.13707418151678424"/>
                </c:manualLayout>
              </c:layout>
              <c:dLblPos val="bestFit"/>
              <c:showCatName val="1"/>
              <c:showPercent val="1"/>
            </c:dLbl>
            <c:dLbl>
              <c:idx val="2"/>
              <c:layout>
                <c:manualLayout>
                  <c:x val="2.1031354483179766E-2"/>
                  <c:y val="-0.1701361216487615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СВОДНЫЙ'!$A$74:$A$77</c:f>
              <c:strCache>
                <c:ptCount val="4"/>
                <c:pt idx="0">
                  <c:v>Юго-запад</c:v>
                </c:pt>
                <c:pt idx="1">
                  <c:v>Северо-запад</c:v>
                </c:pt>
                <c:pt idx="2">
                  <c:v>Центр</c:v>
                </c:pt>
                <c:pt idx="3">
                  <c:v>Другие</c:v>
                </c:pt>
              </c:strCache>
            </c:strRef>
          </c:cat>
          <c:val>
            <c:numRef>
              <c:f>'Анализ рынка СВОДНЫЙ'!$DU$74:$DU$77</c:f>
              <c:numCache>
                <c:formatCode>#,##0</c:formatCode>
                <c:ptCount val="4"/>
                <c:pt idx="0">
                  <c:v>27</c:v>
                </c:pt>
                <c:pt idx="1">
                  <c:v>9</c:v>
                </c:pt>
                <c:pt idx="2">
                  <c:v>13</c:v>
                </c:pt>
                <c:pt idx="3">
                  <c:v>4</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672453748160064"/>
          <c:y val="0.93032958994879733"/>
        </c:manualLayout>
      </c:layout>
      <c:spPr>
        <a:noFill/>
        <a:ln w="25400">
          <a:noFill/>
        </a:ln>
      </c:spPr>
    </c:title>
    <c:view3D>
      <c:rotX val="31"/>
      <c:hPercent val="70"/>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595502161285728E-2"/>
          <c:y val="1.639347542879805E-2"/>
          <c:w val="0.89884519910190008"/>
          <c:h val="0.84563013639689788"/>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3.7168085203222428E-2"/>
                  <c:y val="-3.1845875822899938E-2"/>
                </c:manualLayout>
              </c:layout>
              <c:showVal val="1"/>
            </c:dLbl>
            <c:dLbl>
              <c:idx val="1"/>
              <c:layout>
                <c:manualLayout>
                  <c:x val="2.6686369382355416E-2"/>
                  <c:y val="-7.1011490437657462E-2"/>
                </c:manualLayout>
              </c:layout>
              <c:showVal val="1"/>
            </c:dLbl>
            <c:dLbl>
              <c:idx val="2"/>
              <c:layout>
                <c:manualLayout>
                  <c:x val="3.9326156965711248E-2"/>
                  <c:y val="-3.9624689659308703E-2"/>
                </c:manualLayout>
              </c:layout>
              <c:showVal val="1"/>
            </c:dLbl>
            <c:dLbl>
              <c:idx val="3"/>
              <c:layout>
                <c:manualLayout>
                  <c:x val="4.9075464041812122E-2"/>
                  <c:y val="-6.1680993237200332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СВОДНЫЙ'!$A$4:$A$7</c:f>
              <c:strCache>
                <c:ptCount val="4"/>
                <c:pt idx="0">
                  <c:v>Юго-запад</c:v>
                </c:pt>
                <c:pt idx="1">
                  <c:v>Северо-запад</c:v>
                </c:pt>
                <c:pt idx="2">
                  <c:v>Центр</c:v>
                </c:pt>
                <c:pt idx="3">
                  <c:v>Другие</c:v>
                </c:pt>
              </c:strCache>
            </c:strRef>
          </c:cat>
          <c:val>
            <c:numRef>
              <c:f>'Анализ рынка СВОДНЫЙ'!$DU$4:$DU$7</c:f>
              <c:numCache>
                <c:formatCode>#,##0</c:formatCode>
                <c:ptCount val="4"/>
                <c:pt idx="0">
                  <c:v>61336</c:v>
                </c:pt>
                <c:pt idx="1">
                  <c:v>40340</c:v>
                </c:pt>
                <c:pt idx="2">
                  <c:v>72003</c:v>
                </c:pt>
                <c:pt idx="3">
                  <c:v>30936</c:v>
                </c:pt>
              </c:numCache>
            </c:numRef>
          </c:val>
        </c:ser>
        <c:dLbls>
          <c:showVal val="1"/>
        </c:dLbls>
        <c:shape val="box"/>
        <c:axId val="128348544"/>
        <c:axId val="128350080"/>
        <c:axId val="0"/>
      </c:bar3DChart>
      <c:catAx>
        <c:axId val="12834854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8350080"/>
        <c:crosses val="autoZero"/>
        <c:auto val="1"/>
        <c:lblAlgn val="ctr"/>
        <c:lblOffset val="100"/>
        <c:tickLblSkip val="1"/>
        <c:tickMarkSkip val="1"/>
      </c:catAx>
      <c:valAx>
        <c:axId val="1283500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8348544"/>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580161476356214"/>
          <c:y val="0.64646444762586563"/>
        </c:manualLayout>
      </c:layout>
    </c:title>
    <c:plotArea>
      <c:layout>
        <c:manualLayout>
          <c:layoutTarget val="inner"/>
          <c:xMode val="edge"/>
          <c:yMode val="edge"/>
          <c:x val="0.11672052239144849"/>
          <c:y val="0.10227272727272729"/>
          <c:w val="0.83225294935018934"/>
          <c:h val="0.64380040563112073"/>
        </c:manualLayout>
      </c:layout>
      <c:lineChart>
        <c:grouping val="stacked"/>
        <c:ser>
          <c:idx val="0"/>
          <c:order val="0"/>
          <c:dLbls>
            <c:dLbl>
              <c:idx val="0"/>
              <c:layout>
                <c:manualLayout>
                  <c:x val="4.6136101499423314E-2"/>
                  <c:y val="-3.4721821112782809E-17"/>
                </c:manualLayout>
              </c:layout>
              <c:dLblPos val="t"/>
              <c:showVal val="1"/>
            </c:dLbl>
            <c:dLbl>
              <c:idx val="1"/>
              <c:dLblPos val="b"/>
              <c:showVal val="1"/>
            </c:dLbl>
            <c:dLbl>
              <c:idx val="3"/>
              <c:dLblPos val="b"/>
              <c:showVal val="1"/>
            </c:dLbl>
            <c:dLbl>
              <c:idx val="5"/>
              <c:dLblPos val="b"/>
              <c:showVal val="1"/>
            </c:dLbl>
            <c:dLbl>
              <c:idx val="7"/>
              <c:dLblPos val="b"/>
              <c:showVal val="1"/>
            </c:dLbl>
            <c:dLbl>
              <c:idx val="9"/>
              <c:tx>
                <c:rich>
                  <a:bodyPr/>
                  <a:lstStyle/>
                  <a:p>
                    <a:r>
                      <a:rPr lang="ru-RU" i="1"/>
                      <a:t> 56 524</a:t>
                    </a:r>
                  </a:p>
                </c:rich>
              </c:tx>
              <c:dLblPos val="b"/>
              <c:showVal val="1"/>
              <c:showSerName val="1"/>
            </c:dLbl>
            <c:txPr>
              <a:bodyPr/>
              <a:lstStyle/>
              <a:p>
                <a:pPr>
                  <a:defRPr i="1"/>
                </a:pPr>
                <a:endParaRPr lang="ru-RU"/>
              </a:p>
            </c:txPr>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ГОДОВОЙ'!$B$4:$L$4</c:f>
              <c:numCache>
                <c:formatCode>#,##0</c:formatCode>
                <c:ptCount val="11"/>
                <c:pt idx="0">
                  <c:v>47964.101946302995</c:v>
                </c:pt>
                <c:pt idx="1">
                  <c:v>46886.333333333336</c:v>
                </c:pt>
                <c:pt idx="2">
                  <c:v>46430.166666666613</c:v>
                </c:pt>
                <c:pt idx="3">
                  <c:v>47515.166666666613</c:v>
                </c:pt>
                <c:pt idx="4">
                  <c:v>46063.083333333336</c:v>
                </c:pt>
                <c:pt idx="5">
                  <c:v>52887.083333333336</c:v>
                </c:pt>
                <c:pt idx="6">
                  <c:v>59687.962850000011</c:v>
                </c:pt>
                <c:pt idx="7">
                  <c:v>57795</c:v>
                </c:pt>
                <c:pt idx="8">
                  <c:v>53283</c:v>
                </c:pt>
                <c:pt idx="9">
                  <c:v>56524.124999999993</c:v>
                </c:pt>
                <c:pt idx="10">
                  <c:v>54934.583333333336</c:v>
                </c:pt>
              </c:numCache>
            </c:numRef>
          </c:val>
          <c:smooth val="1"/>
        </c:ser>
        <c:dLbls>
          <c:showVal val="1"/>
        </c:dLbls>
        <c:marker val="1"/>
        <c:axId val="128378368"/>
        <c:axId val="128379904"/>
      </c:lineChart>
      <c:catAx>
        <c:axId val="128378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379904"/>
        <c:crosses val="autoZero"/>
        <c:lblAlgn val="ctr"/>
        <c:lblOffset val="100"/>
        <c:tickLblSkip val="1"/>
        <c:tickMarkSkip val="1"/>
      </c:catAx>
      <c:valAx>
        <c:axId val="128379904"/>
        <c:scaling>
          <c:orientation val="minMax"/>
          <c:max val="75000"/>
          <c:min val="2500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378368"/>
        <c:crosses val="autoZero"/>
        <c:crossBetween val="midCat"/>
        <c:majorUnit val="12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7908653150639664"/>
          <c:y val="0.67424242424242464"/>
        </c:manualLayout>
      </c:layout>
    </c:title>
    <c:plotArea>
      <c:layout>
        <c:manualLayout>
          <c:layoutTarget val="inner"/>
          <c:xMode val="edge"/>
          <c:yMode val="edge"/>
          <c:x val="9.5723562113792002E-2"/>
          <c:y val="0.10984848484848486"/>
          <c:w val="0.85783024366049521"/>
          <c:h val="0.6892549510856594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59580052493441E-2"/>
                  <c:y val="3.4721821112782809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ГОДОВОЙ'!$B$5:$L$5</c:f>
              <c:numCache>
                <c:formatCode>0%</c:formatCode>
                <c:ptCount val="11"/>
                <c:pt idx="0">
                  <c:v>1</c:v>
                </c:pt>
                <c:pt idx="1">
                  <c:v>0.97752968221574865</c:v>
                </c:pt>
                <c:pt idx="2">
                  <c:v>0.96801909725415936</c:v>
                </c:pt>
                <c:pt idx="3">
                  <c:v>0.9906401816896534</c:v>
                </c:pt>
                <c:pt idx="4">
                  <c:v>0.96036580409453154</c:v>
                </c:pt>
                <c:pt idx="5">
                  <c:v>1.102638873392058</c:v>
                </c:pt>
                <c:pt idx="6">
                  <c:v>1.2444299054493311</c:v>
                </c:pt>
                <c:pt idx="7">
                  <c:v>1.2049636635478536</c:v>
                </c:pt>
                <c:pt idx="8">
                  <c:v>1.110893310577389</c:v>
                </c:pt>
                <c:pt idx="9">
                  <c:v>1.1784672850391338</c:v>
                </c:pt>
                <c:pt idx="10">
                  <c:v>1.1453270488590397</c:v>
                </c:pt>
              </c:numCache>
            </c:numRef>
          </c:val>
          <c:smooth val="1"/>
        </c:ser>
        <c:dLbls>
          <c:showVal val="1"/>
        </c:dLbls>
        <c:marker val="1"/>
        <c:axId val="128449152"/>
        <c:axId val="128520576"/>
      </c:lineChart>
      <c:catAx>
        <c:axId val="128449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520576"/>
        <c:crosses val="autoZero"/>
        <c:lblAlgn val="ctr"/>
        <c:lblOffset val="100"/>
        <c:tickLblSkip val="1"/>
        <c:tickMarkSkip val="1"/>
      </c:catAx>
      <c:valAx>
        <c:axId val="128520576"/>
        <c:scaling>
          <c:orientation val="minMax"/>
          <c:max val="1.5"/>
          <c:min val="0.5"/>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449152"/>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125850297420969"/>
          <c:y val="0.65292186010381892"/>
        </c:manualLayout>
      </c:layout>
    </c:title>
    <c:plotArea>
      <c:layout>
        <c:manualLayout>
          <c:layoutTarget val="inner"/>
          <c:xMode val="edge"/>
          <c:yMode val="edge"/>
          <c:x val="0.11561707035755478"/>
          <c:y val="3.6734693877551045E-2"/>
          <c:w val="0.82268170630920912"/>
          <c:h val="0.71564625850341435"/>
        </c:manualLayout>
      </c:layout>
      <c:lineChart>
        <c:grouping val="stacked"/>
        <c:ser>
          <c:idx val="0"/>
          <c:order val="0"/>
          <c:spPr>
            <a:ln w="25400">
              <a:solidFill>
                <a:schemeClr val="tx2">
                  <a:lumMod val="75000"/>
                </a:schemeClr>
              </a:solidFill>
              <a:prstDash val="solid"/>
            </a:ln>
          </c:spPr>
          <c:marker>
            <c:symbol val="diamond"/>
            <c:size val="4"/>
            <c:spPr>
              <a:solidFill>
                <a:schemeClr val="tx1"/>
              </a:solidFill>
              <a:ln>
                <a:solidFill>
                  <a:schemeClr val="tx2">
                    <a:lumMod val="75000"/>
                  </a:schemeClr>
                </a:solidFill>
                <a:prstDash val="solid"/>
              </a:ln>
            </c:spPr>
          </c:marker>
          <c:dLbls>
            <c:dLbl>
              <c:idx val="0"/>
              <c:layout>
                <c:manualLayout>
                  <c:x val="-2.0434374511133571E-2"/>
                  <c:y val="-5.8850500830253422E-2"/>
                </c:manualLayout>
              </c:layout>
              <c:dLblPos val="r"/>
              <c:showVal val="1"/>
            </c:dLbl>
            <c:dLbl>
              <c:idx val="1"/>
              <c:layout>
                <c:manualLayout>
                  <c:x val="-4.0412473275277833E-2"/>
                  <c:y val="-7.1282232578070578E-2"/>
                </c:manualLayout>
              </c:layout>
              <c:dLblPos val="r"/>
              <c:showVal val="1"/>
            </c:dLbl>
            <c:dLbl>
              <c:idx val="2"/>
              <c:layout>
                <c:manualLayout>
                  <c:x val="-4.8800943400062795E-2"/>
                  <c:y val="-5.2394998783191933E-2"/>
                </c:manualLayout>
              </c:layout>
              <c:dLblPos val="r"/>
              <c:showVal val="1"/>
            </c:dLbl>
            <c:dLbl>
              <c:idx val="3"/>
              <c:layout>
                <c:manualLayout>
                  <c:x val="-5.6085762458500638E-2"/>
                  <c:y val="-5.8941775135250847E-2"/>
                </c:manualLayout>
              </c:layout>
              <c:dLblPos val="r"/>
              <c:showVal val="1"/>
            </c:dLbl>
            <c:dLbl>
              <c:idx val="4"/>
              <c:layout>
                <c:manualLayout>
                  <c:x val="-6.1714888007421524E-2"/>
                  <c:y val="-5.698886120651233E-2"/>
                </c:manualLayout>
              </c:layout>
              <c:dLblPos val="r"/>
              <c:showVal val="1"/>
            </c:dLbl>
            <c:dLbl>
              <c:idx val="5"/>
              <c:layout>
                <c:manualLayout>
                  <c:x val="-7.9039133949087473E-2"/>
                  <c:y val="-6.4474540682414705E-2"/>
                </c:manualLayout>
              </c:layout>
              <c:dLblPos val="r"/>
              <c:showVal val="1"/>
            </c:dLbl>
            <c:dLbl>
              <c:idx val="6"/>
              <c:layout>
                <c:manualLayout>
                  <c:x val="-6.8520449844431924E-2"/>
                  <c:y val="-6.5322406127806473E-2"/>
                </c:manualLayout>
              </c:layout>
              <c:dLblPos val="r"/>
              <c:showVal val="1"/>
            </c:dLbl>
            <c:dLbl>
              <c:idx val="7"/>
              <c:layout>
                <c:manualLayout>
                  <c:x val="-1.7653091376822929E-3"/>
                  <c:y val="-7.552113128716053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5816709888006425"/>
                  <c:y val="3.334383202099739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955777515800892"/>
                  <c:y val="-7.97506026032471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5088240812032494"/>
                  <c:y val="3.152263109968394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87"/>
                  <c:y val="1.5975574481761241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414941590564381"/>
                  <c:y val="1.84734051100755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719572266109722"/>
                  <c:y val="-0.1003164604424446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СВОДНЫЙ'!$Z$8:$DU$8</c:f>
              <c:numCache>
                <c:formatCode>#,##0</c:formatCode>
                <c:ptCount val="6"/>
                <c:pt idx="0">
                  <c:v>60576</c:v>
                </c:pt>
                <c:pt idx="1">
                  <c:v>57886</c:v>
                </c:pt>
                <c:pt idx="2">
                  <c:v>55195</c:v>
                </c:pt>
                <c:pt idx="3">
                  <c:v>58101</c:v>
                </c:pt>
                <c:pt idx="4">
                  <c:v>64296</c:v>
                </c:pt>
                <c:pt idx="5">
                  <c:v>58093</c:v>
                </c:pt>
              </c:numCache>
            </c:numRef>
          </c:val>
          <c:smooth val="1"/>
        </c:ser>
        <c:dLbls>
          <c:showVal val="1"/>
        </c:dLbls>
        <c:marker val="1"/>
        <c:axId val="128576128"/>
        <c:axId val="128868736"/>
      </c:lineChart>
      <c:catAx>
        <c:axId val="12857612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8868736"/>
        <c:crosses val="autoZero"/>
        <c:lblAlgn val="ctr"/>
        <c:lblOffset val="100"/>
        <c:tickLblSkip val="1"/>
        <c:tickMarkSkip val="1"/>
      </c:catAx>
      <c:valAx>
        <c:axId val="128868736"/>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576128"/>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2914923628930286"/>
          <c:y val="0.69037983687293469"/>
        </c:manualLayout>
      </c:layout>
    </c:title>
    <c:plotArea>
      <c:layout>
        <c:manualLayout>
          <c:layoutTarget val="inner"/>
          <c:xMode val="edge"/>
          <c:yMode val="edge"/>
          <c:x val="7.874015748031496E-2"/>
          <c:y val="3.6885245901639961E-2"/>
          <c:w val="0.85144356955380573"/>
          <c:h val="0.79650743657043344"/>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518123378967083E-2"/>
                  <c:y val="-6.0964336266886431E-2"/>
                </c:manualLayout>
              </c:layout>
              <c:dLblPos val="r"/>
              <c:showVal val="1"/>
            </c:dLbl>
            <c:dLbl>
              <c:idx val="1"/>
              <c:layout>
                <c:manualLayout>
                  <c:x val="-4.0796867604664173E-2"/>
                  <c:y val="-7.156275547523773E-2"/>
                </c:manualLayout>
              </c:layout>
              <c:dLblPos val="r"/>
              <c:showVal val="1"/>
            </c:dLbl>
            <c:dLbl>
              <c:idx val="2"/>
              <c:layout>
                <c:manualLayout>
                  <c:x val="-5.533238673034805E-2"/>
                  <c:y val="-5.9665677036272124E-2"/>
                </c:manualLayout>
              </c:layout>
              <c:dLblPos val="r"/>
              <c:showVal val="1"/>
            </c:dLbl>
            <c:dLbl>
              <c:idx val="3"/>
              <c:layout>
                <c:manualLayout>
                  <c:x val="-5.8939116217030282E-2"/>
                  <c:y val="-6.0763736500150593E-2"/>
                </c:manualLayout>
              </c:layout>
              <c:dLblPos val="r"/>
              <c:showVal val="1"/>
            </c:dLbl>
            <c:dLbl>
              <c:idx val="4"/>
              <c:layout>
                <c:manualLayout>
                  <c:x val="-5.653457252269696E-2"/>
                  <c:y val="-6.1211651822210923E-2"/>
                </c:manualLayout>
              </c:layout>
              <c:dLblPos val="r"/>
              <c:showVal val="1"/>
            </c:dLbl>
            <c:dLbl>
              <c:idx val="5"/>
              <c:layout>
                <c:manualLayout>
                  <c:x val="-3.4859429456563853E-2"/>
                  <c:y val="-6.1987435996729914E-2"/>
                </c:manualLayout>
              </c:layout>
              <c:dLblPos val="r"/>
              <c:showVal val="1"/>
            </c:dLbl>
            <c:dLbl>
              <c:idx val="6"/>
              <c:layout>
                <c:manualLayout>
                  <c:x val="-4.8010154468396384E-2"/>
                  <c:y val="-6.3698636031151903E-2"/>
                </c:manualLayout>
              </c:layout>
              <c:dLblPos val="r"/>
              <c:showVal val="1"/>
            </c:dLbl>
            <c:dLbl>
              <c:idx val="7"/>
              <c:layout>
                <c:manualLayout>
                  <c:x val="-1.9650961662579083E-2"/>
                  <c:y val="-6.9039628243190931E-2"/>
                </c:manualLayout>
              </c:layout>
              <c:dLblPos val="r"/>
              <c:showVal val="1"/>
            </c:dLbl>
            <c:dLbl>
              <c:idx val="8"/>
              <c:layout>
                <c:manualLayout>
                  <c:x val="-3.887468332899599E-2"/>
                  <c:y val="0.30665079633962894"/>
                </c:manualLayout>
              </c:layout>
              <c:dLblPos val="r"/>
              <c:showVal val="1"/>
            </c:dLbl>
            <c:dLbl>
              <c:idx val="9"/>
              <c:layout>
                <c:manualLayout>
                  <c:x val="-6.5202441194224234E-2"/>
                  <c:y val="0.23739721525738691"/>
                </c:manualLayout>
              </c:layout>
              <c:dLblPos val="r"/>
              <c:showVal val="1"/>
            </c:dLbl>
            <c:dLbl>
              <c:idx val="10"/>
              <c:layout>
                <c:manualLayout>
                  <c:x val="-8.0054780037760787E-2"/>
                  <c:y val="0.39678988968941847"/>
                </c:manualLayout>
              </c:layout>
              <c:dLblPos val="r"/>
              <c:showVal val="1"/>
            </c:dLbl>
            <c:dLbl>
              <c:idx val="11"/>
              <c:layout>
                <c:manualLayout>
                  <c:x val="-9.1628425107779896E-2"/>
                  <c:y val="0.31464570270250081"/>
                </c:manualLayout>
              </c:layout>
              <c:dLblPos val="r"/>
              <c:showVal val="1"/>
            </c:dLbl>
            <c:dLbl>
              <c:idx val="12"/>
              <c:layout>
                <c:manualLayout>
                  <c:x val="-9.0633754981240197E-2"/>
                  <c:y val="0.37153449741582339"/>
                </c:manualLayout>
              </c:layout>
              <c:dLblPos val="r"/>
              <c:showVal val="1"/>
            </c:dLbl>
            <c:dLbl>
              <c:idx val="13"/>
              <c:layout>
                <c:manualLayout>
                  <c:x val="-8.2535083671759504E-2"/>
                  <c:y val="0.20966442782664241"/>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СВОДНЫЙ'!$Z$3:$DU$3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СВОДНЫЙ'!$Z$9:$DU$9</c:f>
              <c:numCache>
                <c:formatCode>0%</c:formatCode>
                <c:ptCount val="6"/>
                <c:pt idx="0">
                  <c:v>1.2629445260502601</c:v>
                </c:pt>
                <c:pt idx="1">
                  <c:v>1.2068609157908303</c:v>
                </c:pt>
                <c:pt idx="2">
                  <c:v>1.1507564566056541</c:v>
                </c:pt>
                <c:pt idx="3">
                  <c:v>1.2113434348264358</c:v>
                </c:pt>
                <c:pt idx="4">
                  <c:v>1.3405025298290996</c:v>
                </c:pt>
                <c:pt idx="5">
                  <c:v>1.2111766434204594</c:v>
                </c:pt>
              </c:numCache>
            </c:numRef>
          </c:val>
          <c:smooth val="1"/>
        </c:ser>
        <c:dLbls>
          <c:showVal val="1"/>
        </c:dLbls>
        <c:marker val="1"/>
        <c:axId val="128901120"/>
        <c:axId val="128902656"/>
      </c:lineChart>
      <c:catAx>
        <c:axId val="12890112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8902656"/>
        <c:crosses val="autoZero"/>
        <c:lblAlgn val="ctr"/>
        <c:lblOffset val="100"/>
        <c:tickLblSkip val="1"/>
        <c:tickMarkSkip val="1"/>
      </c:catAx>
      <c:valAx>
        <c:axId val="128902656"/>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901120"/>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6"/>
          <c:w val="0.67272926352174611"/>
          <c:h val="0.35200068750134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422E-2"/>
                  <c:y val="-7.9008083989502056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СВОДНЫЙ'!$DU$139:$DU$141</c:f>
              <c:numCache>
                <c:formatCode>#,##0</c:formatCode>
                <c:ptCount val="3"/>
                <c:pt idx="0">
                  <c:v>51</c:v>
                </c:pt>
                <c:pt idx="1">
                  <c:v>51</c:v>
                </c:pt>
                <c:pt idx="2">
                  <c:v>31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0.75087</cdr:x>
      <cdr:y>0.60816</cdr:y>
    </cdr:from>
    <cdr:to>
      <cdr:x>0.91696</cdr:x>
      <cdr:y>1</cdr:y>
    </cdr:to>
    <cdr:sp macro="" textlink="">
      <cdr:nvSpPr>
        <cdr:cNvPr id="2" name="TextBox 1"/>
        <cdr:cNvSpPr txBox="1"/>
      </cdr:nvSpPr>
      <cdr:spPr>
        <a:xfrm xmlns:a="http://schemas.openxmlformats.org/drawingml/2006/main">
          <a:off x="4133850" y="1676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0.38319</cdr:x>
      <cdr:y>0.70191</cdr:y>
    </cdr:from>
    <cdr:to>
      <cdr:x>0.41</cdr:x>
      <cdr:y>0.77696</cdr:y>
    </cdr:to>
    <cdr:sp macro="" textlink="">
      <cdr:nvSpPr>
        <cdr:cNvPr id="70657" name="Text Box 1025"/>
        <cdr:cNvSpPr txBox="1">
          <a:spLocks xmlns:a="http://schemas.openxmlformats.org/drawingml/2006/main" noChangeArrowheads="1"/>
        </cdr:cNvSpPr>
      </cdr:nvSpPr>
      <cdr:spPr bwMode="auto">
        <a:xfrm xmlns:a="http://schemas.openxmlformats.org/drawingml/2006/main">
          <a:off x="2233275" y="1641165"/>
          <a:ext cx="155993" cy="17515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0.4341</cdr:x>
      <cdr:y>0.74956</cdr:y>
    </cdr:from>
    <cdr:to>
      <cdr:x>0.46336</cdr:x>
      <cdr:y>0.82131</cdr:y>
    </cdr:to>
    <cdr:sp macro="" textlink="">
      <cdr:nvSpPr>
        <cdr:cNvPr id="81921" name="Text Box 1"/>
        <cdr:cNvSpPr txBox="1">
          <a:spLocks xmlns:a="http://schemas.openxmlformats.org/drawingml/2006/main" noChangeArrowheads="1"/>
        </cdr:cNvSpPr>
      </cdr:nvSpPr>
      <cdr:spPr bwMode="auto">
        <a:xfrm xmlns:a="http://schemas.openxmlformats.org/drawingml/2006/main">
          <a:off x="2521271" y="1780921"/>
          <a:ext cx="169738" cy="1701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RePack by SPecialiST</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VaL</cp:lastModifiedBy>
  <cp:revision>2</cp:revision>
  <cp:lastPrinted>2017-03-10T10:50:00Z</cp:lastPrinted>
  <dcterms:created xsi:type="dcterms:W3CDTF">2020-04-09T08:23:00Z</dcterms:created>
  <dcterms:modified xsi:type="dcterms:W3CDTF">2020-04-09T08:23:00Z</dcterms:modified>
</cp:coreProperties>
</file>