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word/drawings/drawing8.xml" ContentType="application/vnd.openxmlformats-officedocument.drawingml.chartshapes+xml"/>
  <Default Extension="jpeg" ContentType="image/jpeg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Override PartName="/word/drawings/drawing18.xml" ContentType="application/vnd.openxmlformats-officedocument.drawingml.chartshapes+xml"/>
  <Override PartName="/word/drawings/drawing19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16.xml" ContentType="application/vnd.openxmlformats-officedocument.drawingml.chartshapes+xml"/>
  <Override PartName="/word/drawings/drawing17.xml" ContentType="application/vnd.openxmlformats-officedocument.drawingml.chartshapes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4.xml" ContentType="application/vnd.openxmlformats-officedocument.drawingml.chartshapes+xml"/>
  <Override PartName="/word/drawings/drawing15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2.xml" ContentType="application/vnd.openxmlformats-officedocument.drawingml.chartshapes+xml"/>
  <Override PartName="/word/drawings/drawing13.xml" ContentType="application/vnd.openxmlformats-officedocument.drawingml.chartshapes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drawings/drawing21.xml" ContentType="application/vnd.openxmlformats-officedocument.drawingml.chartshapes+xml"/>
  <Override PartName="/word/drawings/drawing2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0.xml" ContentType="application/vnd.openxmlformats-officedocument.drawingml.chartshapes+xml"/>
  <Override PartName="/word/drawings/drawing11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drawings/drawing20.xml" ContentType="application/vnd.openxmlformats-officedocument.drawingml.chartshapes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  <Override PartName="/word/drawings/drawing9.xml" ContentType="application/vnd.openxmlformats-officedocument.drawingml.chartshap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CE" w:rsidRPr="00C754C5" w:rsidRDefault="004F06CE" w:rsidP="002F2DCE">
      <w:pPr>
        <w:rPr>
          <w:rFonts w:asciiTheme="minorHAnsi" w:hAnsiTheme="minorHAnsi"/>
          <w:color w:val="333333"/>
          <w:sz w:val="28"/>
          <w:szCs w:val="28"/>
        </w:rPr>
      </w:pPr>
      <w:r w:rsidRPr="00C754C5">
        <w:rPr>
          <w:rFonts w:asciiTheme="minorHAnsi" w:hAnsiTheme="minorHAnsi"/>
          <w:b/>
          <w:bCs/>
          <w:color w:val="333333"/>
          <w:sz w:val="28"/>
          <w:szCs w:val="28"/>
        </w:rPr>
        <w:t>Общие тенденции на р</w:t>
      </w:r>
      <w:r w:rsidR="00E06B77" w:rsidRPr="00C754C5">
        <w:rPr>
          <w:rFonts w:asciiTheme="minorHAnsi" w:hAnsiTheme="minorHAnsi"/>
          <w:b/>
          <w:bCs/>
          <w:color w:val="333333"/>
          <w:sz w:val="28"/>
          <w:szCs w:val="28"/>
        </w:rPr>
        <w:t>ынк</w:t>
      </w:r>
      <w:r w:rsidRPr="00C754C5">
        <w:rPr>
          <w:rFonts w:asciiTheme="minorHAnsi" w:hAnsiTheme="minorHAnsi"/>
          <w:b/>
          <w:bCs/>
          <w:color w:val="333333"/>
          <w:sz w:val="28"/>
          <w:szCs w:val="28"/>
        </w:rPr>
        <w:t>е</w:t>
      </w:r>
      <w:r w:rsidR="00CD5723" w:rsidRPr="00C754C5">
        <w:rPr>
          <w:rFonts w:asciiTheme="minorHAnsi" w:hAnsiTheme="minorHAnsi"/>
          <w:b/>
          <w:bCs/>
          <w:color w:val="333333"/>
          <w:sz w:val="28"/>
          <w:szCs w:val="28"/>
        </w:rPr>
        <w:t xml:space="preserve"> </w:t>
      </w:r>
      <w:r w:rsidR="004769C7">
        <w:rPr>
          <w:rFonts w:asciiTheme="minorHAnsi" w:hAnsiTheme="minorHAnsi"/>
          <w:b/>
          <w:bCs/>
          <w:color w:val="333333"/>
          <w:sz w:val="28"/>
          <w:szCs w:val="28"/>
        </w:rPr>
        <w:t xml:space="preserve">жилья </w:t>
      </w:r>
      <w:r w:rsidR="00823DF3">
        <w:rPr>
          <w:rFonts w:asciiTheme="minorHAnsi" w:hAnsiTheme="minorHAnsi"/>
          <w:b/>
          <w:bCs/>
          <w:color w:val="333333"/>
          <w:sz w:val="28"/>
          <w:szCs w:val="28"/>
        </w:rPr>
        <w:t>Екатеринбурга</w:t>
      </w:r>
      <w:r w:rsidR="00DE4078" w:rsidRPr="00C754C5">
        <w:rPr>
          <w:rFonts w:asciiTheme="minorHAnsi" w:hAnsiTheme="minorHAnsi"/>
          <w:b/>
          <w:bCs/>
          <w:color w:val="333333"/>
          <w:sz w:val="28"/>
          <w:szCs w:val="28"/>
        </w:rPr>
        <w:t>.</w:t>
      </w:r>
      <w:r w:rsidRPr="00C754C5">
        <w:rPr>
          <w:rFonts w:asciiTheme="minorHAnsi" w:hAnsiTheme="minorHAnsi"/>
          <w:b/>
          <w:bCs/>
          <w:color w:val="333333"/>
          <w:sz w:val="28"/>
          <w:szCs w:val="28"/>
        </w:rPr>
        <w:t xml:space="preserve"> </w:t>
      </w:r>
      <w:r w:rsidR="00823DF3">
        <w:rPr>
          <w:rFonts w:asciiTheme="minorHAnsi" w:hAnsiTheme="minorHAnsi"/>
          <w:b/>
          <w:bCs/>
          <w:color w:val="333333"/>
          <w:sz w:val="28"/>
          <w:szCs w:val="28"/>
        </w:rPr>
        <w:t>Март</w:t>
      </w:r>
      <w:r w:rsidR="00AE1425" w:rsidRPr="00C754C5">
        <w:rPr>
          <w:rFonts w:asciiTheme="minorHAnsi" w:hAnsiTheme="minorHAnsi"/>
          <w:b/>
          <w:bCs/>
          <w:color w:val="333333"/>
          <w:sz w:val="28"/>
          <w:szCs w:val="28"/>
        </w:rPr>
        <w:t xml:space="preserve"> </w:t>
      </w:r>
      <w:r w:rsidR="002F2DCE" w:rsidRPr="00C754C5">
        <w:rPr>
          <w:rFonts w:asciiTheme="minorHAnsi" w:hAnsiTheme="minorHAnsi"/>
          <w:b/>
          <w:bCs/>
          <w:color w:val="333333"/>
          <w:sz w:val="28"/>
          <w:szCs w:val="28"/>
        </w:rPr>
        <w:t>201</w:t>
      </w:r>
      <w:r w:rsidR="005C5A00">
        <w:rPr>
          <w:rFonts w:asciiTheme="minorHAnsi" w:hAnsiTheme="minorHAnsi"/>
          <w:b/>
          <w:bCs/>
          <w:color w:val="333333"/>
          <w:sz w:val="28"/>
          <w:szCs w:val="28"/>
        </w:rPr>
        <w:t>4</w:t>
      </w:r>
      <w:r w:rsidR="002F2DCE" w:rsidRPr="00C754C5">
        <w:rPr>
          <w:rFonts w:asciiTheme="minorHAnsi" w:hAnsiTheme="minorHAnsi"/>
          <w:b/>
          <w:bCs/>
          <w:color w:val="333333"/>
          <w:sz w:val="28"/>
          <w:szCs w:val="28"/>
        </w:rPr>
        <w:t xml:space="preserve"> года.</w:t>
      </w:r>
    </w:p>
    <w:p w:rsidR="002F2DCE" w:rsidRPr="00C754C5" w:rsidRDefault="002F2DCE" w:rsidP="002F2DCE">
      <w:pPr>
        <w:rPr>
          <w:rFonts w:asciiTheme="minorHAnsi" w:hAnsiTheme="minorHAnsi"/>
        </w:rPr>
      </w:pPr>
      <w:r w:rsidRPr="00C754C5">
        <w:rPr>
          <w:rFonts w:asciiTheme="minorHAnsi" w:hAnsiTheme="minorHAnsi"/>
        </w:rPr>
        <w:t xml:space="preserve">(Мария </w:t>
      </w:r>
      <w:proofErr w:type="spellStart"/>
      <w:r w:rsidRPr="00C754C5">
        <w:rPr>
          <w:rFonts w:asciiTheme="minorHAnsi" w:hAnsiTheme="minorHAnsi"/>
        </w:rPr>
        <w:t>Бент</w:t>
      </w:r>
      <w:proofErr w:type="spellEnd"/>
      <w:r w:rsidRPr="00C754C5">
        <w:rPr>
          <w:rFonts w:asciiTheme="minorHAnsi" w:hAnsiTheme="minorHAnsi"/>
        </w:rPr>
        <w:t>, САРН, Групп</w:t>
      </w:r>
      <w:r w:rsidR="004F3B96" w:rsidRPr="00C754C5">
        <w:rPr>
          <w:rFonts w:asciiTheme="minorHAnsi" w:hAnsiTheme="minorHAnsi"/>
        </w:rPr>
        <w:t>а</w:t>
      </w:r>
      <w:r w:rsidRPr="00C754C5">
        <w:rPr>
          <w:rFonts w:asciiTheme="minorHAnsi" w:hAnsiTheme="minorHAnsi"/>
        </w:rPr>
        <w:t xml:space="preserve"> компаний "Бюллетень Недвижимости")</w:t>
      </w:r>
    </w:p>
    <w:p w:rsidR="002F2DCE" w:rsidRDefault="002F2DCE" w:rsidP="00E2360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</w:t>
      </w:r>
    </w:p>
    <w:p w:rsidR="008F5AC7" w:rsidRDefault="008F5AC7" w:rsidP="008F5AC7">
      <w:pPr>
        <w:pStyle w:val="Tabledate"/>
        <w:jc w:val="left"/>
        <w:rPr>
          <w:rFonts w:asciiTheme="minorHAnsi" w:hAnsiTheme="minorHAnsi"/>
          <w:sz w:val="24"/>
          <w:szCs w:val="24"/>
          <w:u w:val="single"/>
        </w:rPr>
      </w:pPr>
      <w:bookmarkStart w:id="0" w:name="OLE_LINK5"/>
      <w:r w:rsidRPr="008F5AC7">
        <w:rPr>
          <w:rFonts w:asciiTheme="minorHAnsi" w:hAnsiTheme="minorHAnsi"/>
          <w:sz w:val="24"/>
          <w:szCs w:val="24"/>
          <w:u w:val="single"/>
        </w:rPr>
        <w:t>Вторичный рынок квартир</w:t>
      </w:r>
    </w:p>
    <w:p w:rsidR="008F5AC7" w:rsidRPr="008F5AC7" w:rsidRDefault="008F5AC7" w:rsidP="008F5AC7">
      <w:pPr>
        <w:pStyle w:val="Tabledate"/>
        <w:jc w:val="left"/>
        <w:rPr>
          <w:rFonts w:asciiTheme="minorHAnsi" w:hAnsiTheme="minorHAnsi"/>
          <w:sz w:val="24"/>
          <w:szCs w:val="24"/>
        </w:rPr>
      </w:pPr>
    </w:p>
    <w:p w:rsidR="00823DF3" w:rsidRPr="00823DF3" w:rsidRDefault="00823DF3" w:rsidP="00823DF3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823DF3">
        <w:rPr>
          <w:rFonts w:asciiTheme="minorHAnsi" w:hAnsiTheme="minorHAnsi"/>
          <w:sz w:val="24"/>
          <w:szCs w:val="24"/>
        </w:rPr>
        <w:t>За минувший месяц изменение средней цены предложения на вторичном рынке квартир в рублевом эквиваленте составило 0,5%, это 403 руб. с квадратного метра. Показатель средней цены предложения в марте 2014 года составил 74,5 тыс. руб. за кв. м.</w:t>
      </w:r>
    </w:p>
    <w:p w:rsidR="008F5AC7" w:rsidRDefault="008F5AC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8F5AC7" w:rsidRDefault="008F5AC7" w:rsidP="008F5AC7">
      <w:pPr>
        <w:pStyle w:val="Tabledate"/>
        <w:rPr>
          <w:rFonts w:asciiTheme="minorHAnsi" w:hAnsiTheme="minorHAnsi"/>
          <w:i/>
          <w:iCs/>
        </w:rPr>
        <w:sectPr w:rsidR="008F5AC7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5AC7" w:rsidRPr="008F5AC7" w:rsidRDefault="008F5AC7" w:rsidP="008F5AC7">
      <w:pPr>
        <w:pStyle w:val="Tabledate"/>
        <w:jc w:val="left"/>
        <w:rPr>
          <w:rFonts w:asciiTheme="minorHAnsi" w:hAnsiTheme="minorHAnsi"/>
        </w:rPr>
      </w:pPr>
      <w:r w:rsidRPr="008F5AC7">
        <w:rPr>
          <w:rFonts w:asciiTheme="minorHAnsi" w:hAnsiTheme="minorHAnsi"/>
          <w:i/>
          <w:iCs/>
        </w:rPr>
        <w:lastRenderedPageBreak/>
        <w:t>Цена, руб./кв. м</w:t>
      </w:r>
    </w:p>
    <w:p w:rsidR="008F5AC7" w:rsidRPr="008F5AC7" w:rsidRDefault="008F5AC7" w:rsidP="008F5AC7">
      <w:pPr>
        <w:pStyle w:val="Tabledate"/>
        <w:jc w:val="left"/>
        <w:rPr>
          <w:rFonts w:asciiTheme="minorHAnsi" w:hAnsiTheme="minorHAnsi"/>
        </w:rPr>
      </w:pPr>
      <w:r w:rsidRPr="008F5AC7">
        <w:rPr>
          <w:rFonts w:asciiTheme="minorHAnsi" w:hAnsiTheme="minorHAnsi"/>
          <w:i/>
          <w:iCs/>
        </w:rPr>
        <w:lastRenderedPageBreak/>
        <w:t>Изменение цены, % к предыдущему месяцу</w:t>
      </w:r>
    </w:p>
    <w:p w:rsidR="008F5AC7" w:rsidRDefault="008F5AC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8F5AC7" w:rsidSect="008F5AC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F5AC7" w:rsidRDefault="00823DF3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823DF3">
        <w:rPr>
          <w:rFonts w:asciiTheme="minorHAnsi" w:hAnsiTheme="minorHAnsi" w:cs="Times New Roman"/>
          <w:sz w:val="22"/>
          <w:szCs w:val="22"/>
        </w:rPr>
        <w:lastRenderedPageBreak/>
        <w:drawing>
          <wp:inline distT="0" distB="0" distL="0" distR="0">
            <wp:extent cx="3097213" cy="1800225"/>
            <wp:effectExtent l="19050" t="0" r="2698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823DF3">
        <w:rPr>
          <w:rFonts w:asciiTheme="minorHAnsi" w:hAnsiTheme="minorHAnsi" w:cs="Times New Roman"/>
          <w:sz w:val="22"/>
          <w:szCs w:val="22"/>
        </w:rPr>
        <w:drawing>
          <wp:inline distT="0" distB="0" distL="0" distR="0">
            <wp:extent cx="3240087" cy="1800225"/>
            <wp:effectExtent l="19050" t="0" r="1746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F5AC7" w:rsidRDefault="008F5AC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823DF3" w:rsidRPr="00823DF3" w:rsidRDefault="00823DF3" w:rsidP="00823DF3">
      <w:pPr>
        <w:pStyle w:val="Tabledate"/>
        <w:jc w:val="left"/>
        <w:rPr>
          <w:rFonts w:asciiTheme="minorHAnsi" w:hAnsiTheme="minorHAnsi"/>
          <w:sz w:val="24"/>
          <w:szCs w:val="24"/>
        </w:rPr>
      </w:pPr>
      <w:proofErr w:type="gramStart"/>
      <w:r w:rsidRPr="00823DF3">
        <w:rPr>
          <w:rFonts w:asciiTheme="minorHAnsi" w:hAnsiTheme="minorHAnsi"/>
          <w:sz w:val="24"/>
          <w:szCs w:val="24"/>
        </w:rPr>
        <w:t>Доля дешевых объектов, цена квадратного метра которых меньше 50 тыс. руб., составляет 3% от общего объема предложения квартир, диапазон цены от 50 до 60 тыс. руб. составляет 10,8%. Большую долю рынка занимает диапазон цены от 60 до 90 тыс. руб. за кв. м, это 72,3% от объема выставленных на продажу квартир.</w:t>
      </w:r>
      <w:proofErr w:type="gramEnd"/>
      <w:r w:rsidRPr="00823DF3">
        <w:rPr>
          <w:rFonts w:asciiTheme="minorHAnsi" w:hAnsiTheme="minorHAnsi"/>
          <w:sz w:val="24"/>
          <w:szCs w:val="24"/>
        </w:rPr>
        <w:t xml:space="preserve"> Диапазон цены от 90 до 100 тыс. руб. составляет 8%. Доля дорогих объектов, цена которых превышает 100 тыс. руб. за кв. м, составляет 5,9% от всего предложения. </w:t>
      </w:r>
    </w:p>
    <w:p w:rsidR="008F5AC7" w:rsidRDefault="008F5AC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8F5AC7" w:rsidRPr="008F5AC7" w:rsidRDefault="008F5AC7" w:rsidP="008F5AC7">
      <w:pPr>
        <w:pStyle w:val="Tabledate"/>
        <w:jc w:val="left"/>
        <w:rPr>
          <w:rFonts w:asciiTheme="minorHAnsi" w:hAnsiTheme="minorHAnsi"/>
        </w:rPr>
      </w:pPr>
      <w:r w:rsidRPr="008F5AC7">
        <w:rPr>
          <w:rFonts w:asciiTheme="minorHAnsi" w:hAnsiTheme="minorHAnsi"/>
          <w:i/>
          <w:iCs/>
        </w:rPr>
        <w:t>Распределение цены (тыс. руб./кв. м), % от общего объема</w:t>
      </w:r>
    </w:p>
    <w:p w:rsidR="008F5AC7" w:rsidRDefault="008F5AC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8F5AC7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5AC7" w:rsidRDefault="00823DF3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823DF3">
        <w:rPr>
          <w:rFonts w:asciiTheme="minorHAnsi" w:hAnsiTheme="minorHAnsi" w:cs="Times New Roman"/>
          <w:sz w:val="22"/>
          <w:szCs w:val="22"/>
        </w:rPr>
        <w:lastRenderedPageBreak/>
        <w:drawing>
          <wp:inline distT="0" distB="0" distL="0" distR="0">
            <wp:extent cx="3098165" cy="1831581"/>
            <wp:effectExtent l="19050" t="0" r="2603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F5AC7" w:rsidRDefault="008F5AC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823DF3" w:rsidRDefault="00823DF3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tbl>
      <w:tblPr>
        <w:tblW w:w="4420" w:type="dxa"/>
        <w:tblCellMar>
          <w:left w:w="0" w:type="dxa"/>
          <w:right w:w="0" w:type="dxa"/>
        </w:tblCellMar>
        <w:tblLook w:val="04A0"/>
      </w:tblPr>
      <w:tblGrid>
        <w:gridCol w:w="1280"/>
        <w:gridCol w:w="1460"/>
        <w:gridCol w:w="1680"/>
      </w:tblGrid>
      <w:tr w:rsidR="00823DF3" w:rsidRPr="008F5AC7" w:rsidTr="008F5AC7">
        <w:trPr>
          <w:trHeight w:val="34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Тыс.  руб./</w:t>
            </w:r>
          </w:p>
          <w:p w:rsidR="00823DF3" w:rsidRDefault="00823DF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кв. м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Февраль 2014 г.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Март 2014 г.</w:t>
            </w:r>
          </w:p>
        </w:tc>
      </w:tr>
      <w:tr w:rsidR="00823DF3" w:rsidRPr="008F5AC7" w:rsidTr="008F5AC7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&lt;50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2.87%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3.01%</w:t>
            </w:r>
          </w:p>
        </w:tc>
      </w:tr>
      <w:tr w:rsidR="00823DF3" w:rsidRPr="008F5AC7" w:rsidTr="008F5AC7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50-60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11.28%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10.81%</w:t>
            </w:r>
          </w:p>
        </w:tc>
      </w:tr>
      <w:tr w:rsidR="00823DF3" w:rsidRPr="008F5AC7" w:rsidTr="008F5AC7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60-70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27.55%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26.27%</w:t>
            </w:r>
          </w:p>
        </w:tc>
      </w:tr>
      <w:tr w:rsidR="00823DF3" w:rsidRPr="008F5AC7" w:rsidTr="008F5AC7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70-80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28.59%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27.70%</w:t>
            </w:r>
          </w:p>
        </w:tc>
      </w:tr>
      <w:tr w:rsidR="00823DF3" w:rsidRPr="008F5AC7" w:rsidTr="008F5AC7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80-90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17.08%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18.34%</w:t>
            </w:r>
          </w:p>
        </w:tc>
      </w:tr>
      <w:tr w:rsidR="00823DF3" w:rsidRPr="008F5AC7" w:rsidTr="008F5AC7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90-100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7.47%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7.95%</w:t>
            </w:r>
          </w:p>
        </w:tc>
      </w:tr>
      <w:tr w:rsidR="00823DF3" w:rsidRPr="008F5AC7" w:rsidTr="008F5AC7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100-110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3.09%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3.61%</w:t>
            </w:r>
          </w:p>
        </w:tc>
      </w:tr>
      <w:tr w:rsidR="00823DF3" w:rsidRPr="008F5AC7" w:rsidTr="008F5AC7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&gt;110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2.05%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7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2.31%</w:t>
            </w:r>
          </w:p>
        </w:tc>
      </w:tr>
    </w:tbl>
    <w:p w:rsidR="008F5AC7" w:rsidRDefault="008F5AC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8F5AC7" w:rsidSect="008F5AC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23DF3" w:rsidRDefault="00823DF3" w:rsidP="00823DF3">
      <w:pPr>
        <w:pStyle w:val="Tabledate"/>
        <w:jc w:val="left"/>
        <w:rPr>
          <w:rFonts w:asciiTheme="minorHAnsi" w:hAnsiTheme="minorHAnsi"/>
          <w:sz w:val="24"/>
          <w:szCs w:val="24"/>
        </w:rPr>
      </w:pPr>
    </w:p>
    <w:p w:rsidR="00823DF3" w:rsidRPr="00823DF3" w:rsidRDefault="00823DF3" w:rsidP="00823DF3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823DF3">
        <w:rPr>
          <w:rFonts w:asciiTheme="minorHAnsi" w:hAnsiTheme="minorHAnsi"/>
          <w:sz w:val="24"/>
          <w:szCs w:val="24"/>
        </w:rPr>
        <w:t xml:space="preserve">В структуре предложения на вторичном рынке квартир преобладают в основном квартиры, имеющие не более трех комнат. Доля однокомнатных квартир составляет 24,9% рынка, двухкомнатных – 37,4%. </w:t>
      </w:r>
      <w:proofErr w:type="gramStart"/>
      <w:r w:rsidRPr="00823DF3">
        <w:rPr>
          <w:rFonts w:asciiTheme="minorHAnsi" w:hAnsiTheme="minorHAnsi"/>
          <w:sz w:val="24"/>
          <w:szCs w:val="24"/>
        </w:rPr>
        <w:t>Трехкомнатные</w:t>
      </w:r>
      <w:proofErr w:type="gramEnd"/>
      <w:r w:rsidRPr="00823DF3">
        <w:rPr>
          <w:rFonts w:asciiTheme="minorHAnsi" w:hAnsiTheme="minorHAnsi"/>
          <w:sz w:val="24"/>
          <w:szCs w:val="24"/>
        </w:rPr>
        <w:t xml:space="preserve"> занимают долю в размере 29,6%. На многокомнатные (от четырех комнат) в среднем приходится 8,1% от общего объема. </w:t>
      </w:r>
    </w:p>
    <w:p w:rsidR="008F5AC7" w:rsidRDefault="008F5AC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8F5AC7" w:rsidRPr="008F5AC7" w:rsidRDefault="008F5AC7" w:rsidP="008F5AC7">
      <w:pPr>
        <w:pStyle w:val="Tabledate"/>
        <w:jc w:val="left"/>
        <w:rPr>
          <w:rFonts w:asciiTheme="minorHAnsi" w:hAnsiTheme="minorHAnsi"/>
        </w:rPr>
      </w:pPr>
      <w:r w:rsidRPr="008F5AC7">
        <w:rPr>
          <w:rFonts w:asciiTheme="minorHAnsi" w:hAnsiTheme="minorHAnsi"/>
          <w:i/>
          <w:iCs/>
        </w:rPr>
        <w:t>Структура по типам квартир, % от общего объема</w:t>
      </w:r>
    </w:p>
    <w:p w:rsidR="008F5AC7" w:rsidRDefault="00823DF3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823DF3">
        <w:rPr>
          <w:rFonts w:asciiTheme="minorHAnsi" w:hAnsiTheme="minorHAnsi" w:cs="Times New Roman"/>
          <w:sz w:val="22"/>
          <w:szCs w:val="22"/>
        </w:rPr>
        <w:lastRenderedPageBreak/>
        <w:drawing>
          <wp:inline distT="0" distB="0" distL="0" distR="0">
            <wp:extent cx="2951162" cy="1730375"/>
            <wp:effectExtent l="19050" t="0" r="20638" b="3175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823DF3">
        <w:rPr>
          <w:rFonts w:asciiTheme="minorHAnsi" w:hAnsiTheme="minorHAnsi" w:cs="Times New Roman"/>
          <w:sz w:val="22"/>
          <w:szCs w:val="22"/>
        </w:rPr>
        <w:drawing>
          <wp:inline distT="0" distB="0" distL="0" distR="0">
            <wp:extent cx="2952750" cy="1801813"/>
            <wp:effectExtent l="19050" t="0" r="19050" b="7937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5AC7" w:rsidRDefault="008F5AC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823DF3" w:rsidRPr="00823DF3" w:rsidRDefault="00823DF3" w:rsidP="00823DF3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823DF3">
        <w:rPr>
          <w:rFonts w:asciiTheme="minorHAnsi" w:hAnsiTheme="minorHAnsi"/>
          <w:sz w:val="24"/>
          <w:szCs w:val="24"/>
        </w:rPr>
        <w:t xml:space="preserve">В среднем по вторичному рынку изменение средних цен предложения на однокомнатные квартиры составило 0,7%. Цена квадратного метра двухкомнатных повысилась на 0,4%, изменение стоимости трехкомнатных составило 0,9%. Средние цены предложения на конец рассматриваемого периода составили на однокомнатные квартиры 2,9 </w:t>
      </w:r>
      <w:proofErr w:type="spellStart"/>
      <w:proofErr w:type="gramStart"/>
      <w:r w:rsidRPr="00823DF3">
        <w:rPr>
          <w:rFonts w:asciiTheme="minorHAnsi" w:hAnsiTheme="minorHAnsi"/>
          <w:sz w:val="24"/>
          <w:szCs w:val="24"/>
        </w:rPr>
        <w:t>млн</w:t>
      </w:r>
      <w:proofErr w:type="spellEnd"/>
      <w:proofErr w:type="gramEnd"/>
      <w:r w:rsidRPr="00823DF3">
        <w:rPr>
          <w:rFonts w:asciiTheme="minorHAnsi" w:hAnsiTheme="minorHAnsi"/>
          <w:sz w:val="24"/>
          <w:szCs w:val="24"/>
        </w:rPr>
        <w:t xml:space="preserve"> руб., на двухкомнатные – 3,7 </w:t>
      </w:r>
      <w:proofErr w:type="spellStart"/>
      <w:r w:rsidRPr="00823DF3">
        <w:rPr>
          <w:rFonts w:asciiTheme="minorHAnsi" w:hAnsiTheme="minorHAnsi"/>
          <w:sz w:val="24"/>
          <w:szCs w:val="24"/>
        </w:rPr>
        <w:t>млн</w:t>
      </w:r>
      <w:proofErr w:type="spellEnd"/>
      <w:r w:rsidRPr="00823DF3">
        <w:rPr>
          <w:rFonts w:asciiTheme="minorHAnsi" w:hAnsiTheme="minorHAnsi"/>
          <w:sz w:val="24"/>
          <w:szCs w:val="24"/>
        </w:rPr>
        <w:t xml:space="preserve"> руб., на трехкомнатные – 5,4 </w:t>
      </w:r>
      <w:proofErr w:type="spellStart"/>
      <w:r w:rsidRPr="00823DF3">
        <w:rPr>
          <w:rFonts w:asciiTheme="minorHAnsi" w:hAnsiTheme="minorHAnsi"/>
          <w:sz w:val="24"/>
          <w:szCs w:val="24"/>
        </w:rPr>
        <w:t>млн</w:t>
      </w:r>
      <w:proofErr w:type="spellEnd"/>
      <w:r w:rsidRPr="00823DF3">
        <w:rPr>
          <w:rFonts w:asciiTheme="minorHAnsi" w:hAnsiTheme="minorHAnsi"/>
          <w:sz w:val="24"/>
          <w:szCs w:val="24"/>
        </w:rPr>
        <w:t xml:space="preserve"> руб.</w:t>
      </w:r>
    </w:p>
    <w:p w:rsidR="008F5AC7" w:rsidRDefault="008F5AC7" w:rsidP="008F5AC7">
      <w:pPr>
        <w:pStyle w:val="Tabledate"/>
        <w:jc w:val="left"/>
        <w:rPr>
          <w:rFonts w:asciiTheme="minorHAnsi" w:hAnsiTheme="minorHAnsi"/>
          <w:sz w:val="24"/>
          <w:szCs w:val="24"/>
        </w:rPr>
      </w:pPr>
    </w:p>
    <w:p w:rsidR="008F5AC7" w:rsidRPr="008F5AC7" w:rsidRDefault="008F5AC7" w:rsidP="008F5AC7">
      <w:pPr>
        <w:pStyle w:val="Tabledate"/>
        <w:jc w:val="left"/>
        <w:rPr>
          <w:rFonts w:asciiTheme="minorHAnsi" w:hAnsiTheme="minorHAnsi"/>
        </w:rPr>
      </w:pPr>
      <w:r w:rsidRPr="008F5AC7">
        <w:rPr>
          <w:rFonts w:asciiTheme="minorHAnsi" w:hAnsiTheme="minorHAnsi"/>
          <w:i/>
          <w:iCs/>
        </w:rPr>
        <w:t>Цена по типу квартир, руб./кв. м</w:t>
      </w:r>
    </w:p>
    <w:p w:rsidR="008F5AC7" w:rsidRDefault="008F5AC7" w:rsidP="008F5AC7">
      <w:pPr>
        <w:pStyle w:val="Tabledate"/>
        <w:jc w:val="left"/>
        <w:rPr>
          <w:rFonts w:asciiTheme="minorHAnsi" w:hAnsiTheme="minorHAnsi"/>
          <w:sz w:val="24"/>
          <w:szCs w:val="24"/>
        </w:rPr>
        <w:sectPr w:rsidR="008F5AC7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5AC7" w:rsidRDefault="00823DF3" w:rsidP="008F5AC7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823DF3">
        <w:rPr>
          <w:rFonts w:asciiTheme="minorHAnsi" w:hAnsiTheme="minorHAnsi"/>
          <w:sz w:val="24"/>
          <w:szCs w:val="24"/>
        </w:rPr>
        <w:lastRenderedPageBreak/>
        <w:drawing>
          <wp:inline distT="0" distB="0" distL="0" distR="0">
            <wp:extent cx="3097213" cy="1728788"/>
            <wp:effectExtent l="19050" t="0" r="26987" b="4762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5AC7" w:rsidRDefault="008F5AC7" w:rsidP="008F5AC7">
      <w:pPr>
        <w:pStyle w:val="Tabledate"/>
        <w:jc w:val="left"/>
        <w:rPr>
          <w:rFonts w:asciiTheme="minorHAnsi" w:hAnsiTheme="minorHAnsi"/>
          <w:sz w:val="24"/>
          <w:szCs w:val="24"/>
        </w:rPr>
      </w:pPr>
    </w:p>
    <w:p w:rsidR="00C97CB1" w:rsidRDefault="00C97CB1" w:rsidP="008F5AC7">
      <w:pPr>
        <w:pStyle w:val="Tabledate"/>
        <w:jc w:val="left"/>
        <w:rPr>
          <w:rFonts w:asciiTheme="minorHAnsi" w:hAnsiTheme="minorHAnsi"/>
          <w:sz w:val="24"/>
          <w:szCs w:val="24"/>
        </w:rPr>
      </w:pPr>
    </w:p>
    <w:tbl>
      <w:tblPr>
        <w:tblW w:w="4835" w:type="dxa"/>
        <w:tblCellMar>
          <w:left w:w="0" w:type="dxa"/>
          <w:right w:w="0" w:type="dxa"/>
        </w:tblCellMar>
        <w:tblLook w:val="04A0"/>
      </w:tblPr>
      <w:tblGrid>
        <w:gridCol w:w="580"/>
        <w:gridCol w:w="1000"/>
        <w:gridCol w:w="1020"/>
        <w:gridCol w:w="1140"/>
        <w:gridCol w:w="1095"/>
      </w:tblGrid>
      <w:tr w:rsidR="00823DF3" w:rsidRPr="008F5AC7" w:rsidTr="009A6AEF">
        <w:trPr>
          <w:trHeight w:val="412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Pr="008F5AC7" w:rsidRDefault="00823DF3" w:rsidP="008F5AC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Цена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Февраль </w:t>
            </w:r>
          </w:p>
          <w:p w:rsidR="00823DF3" w:rsidRDefault="00823DF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Март </w:t>
            </w:r>
          </w:p>
          <w:p w:rsidR="00823DF3" w:rsidRDefault="00823DF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Изменение </w:t>
            </w:r>
          </w:p>
          <w:p w:rsidR="00823DF3" w:rsidRDefault="00823DF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за месяц</w:t>
            </w:r>
          </w:p>
        </w:tc>
      </w:tr>
      <w:tr w:rsidR="00823DF3" w:rsidRPr="008F5AC7" w:rsidTr="009A6AEF">
        <w:trPr>
          <w:trHeight w:val="25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F3" w:rsidRPr="008F5AC7" w:rsidRDefault="00823DF3" w:rsidP="008F5AC7">
            <w:pPr>
              <w:spacing w:after="0" w:line="251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5AC7">
              <w:rPr>
                <w:rFonts w:eastAsia="Times New Roman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1ккв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2 886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2 917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823DF3" w:rsidRPr="008F5AC7" w:rsidTr="009A6AEF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DF3" w:rsidRPr="008F5AC7" w:rsidRDefault="00823DF3" w:rsidP="008F5A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81 288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81 876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0.72%</w:t>
            </w:r>
          </w:p>
        </w:tc>
      </w:tr>
      <w:tr w:rsidR="00823DF3" w:rsidRPr="008F5AC7" w:rsidTr="009A6AEF">
        <w:trPr>
          <w:trHeight w:val="25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F3" w:rsidRPr="008F5AC7" w:rsidRDefault="00823DF3" w:rsidP="008F5AC7">
            <w:pPr>
              <w:spacing w:after="0" w:line="251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5AC7">
              <w:rPr>
                <w:rFonts w:eastAsia="Times New Roman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2ккв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3 648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3 689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823DF3" w:rsidRPr="008F5AC7" w:rsidTr="009A6AEF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DF3" w:rsidRPr="008F5AC7" w:rsidRDefault="00823DF3" w:rsidP="008F5A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72 710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73 023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0.43%</w:t>
            </w:r>
          </w:p>
        </w:tc>
      </w:tr>
      <w:tr w:rsidR="00823DF3" w:rsidRPr="008F5AC7" w:rsidTr="009A6AEF">
        <w:trPr>
          <w:trHeight w:val="25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F3" w:rsidRPr="008F5AC7" w:rsidRDefault="00823DF3" w:rsidP="008F5AC7">
            <w:pPr>
              <w:spacing w:after="0" w:line="251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5AC7">
              <w:rPr>
                <w:rFonts w:eastAsia="Times New Roman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3ккв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5 295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5 371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823DF3" w:rsidRPr="008F5AC7" w:rsidTr="009A6AEF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DF3" w:rsidRPr="008F5AC7" w:rsidRDefault="00823DF3" w:rsidP="008F5A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70 418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71 031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48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0.87%</w:t>
            </w:r>
          </w:p>
        </w:tc>
      </w:tr>
    </w:tbl>
    <w:p w:rsidR="008F5AC7" w:rsidRDefault="008F5AC7" w:rsidP="008F5AC7">
      <w:pPr>
        <w:pStyle w:val="Tabledate"/>
        <w:jc w:val="left"/>
        <w:rPr>
          <w:rFonts w:asciiTheme="minorHAnsi" w:hAnsiTheme="minorHAnsi"/>
          <w:sz w:val="24"/>
          <w:szCs w:val="24"/>
        </w:rPr>
        <w:sectPr w:rsidR="008F5AC7" w:rsidSect="008F5AC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97CB1" w:rsidRDefault="00C97CB1" w:rsidP="00B16544">
      <w:pPr>
        <w:pStyle w:val="Tabledate"/>
        <w:jc w:val="left"/>
        <w:rPr>
          <w:rFonts w:asciiTheme="minorHAnsi" w:hAnsiTheme="minorHAnsi"/>
          <w:sz w:val="24"/>
          <w:szCs w:val="24"/>
        </w:rPr>
      </w:pPr>
    </w:p>
    <w:p w:rsidR="00823DF3" w:rsidRPr="00823DF3" w:rsidRDefault="00823DF3" w:rsidP="00823DF3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823DF3">
        <w:rPr>
          <w:rFonts w:asciiTheme="minorHAnsi" w:hAnsiTheme="minorHAnsi"/>
          <w:sz w:val="24"/>
          <w:szCs w:val="24"/>
        </w:rPr>
        <w:t xml:space="preserve">Максимальное количество предложений однокомнатных квартир, выставленных на продажу, зафиксировано в диапазоне от 30 до 35 кв. м и от 35 до 40 кв. м общей площади, что занимает 37,6% и 20,8% соответственно от всего объема по указанному типу. </w:t>
      </w:r>
    </w:p>
    <w:p w:rsidR="00823DF3" w:rsidRPr="00823DF3" w:rsidRDefault="00823DF3" w:rsidP="00823DF3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823DF3">
        <w:rPr>
          <w:rFonts w:asciiTheme="minorHAnsi" w:hAnsiTheme="minorHAnsi"/>
          <w:sz w:val="24"/>
          <w:szCs w:val="24"/>
        </w:rPr>
        <w:t xml:space="preserve"> </w:t>
      </w:r>
    </w:p>
    <w:p w:rsidR="00823DF3" w:rsidRPr="00823DF3" w:rsidRDefault="00823DF3" w:rsidP="00823DF3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823DF3">
        <w:rPr>
          <w:rFonts w:asciiTheme="minorHAnsi" w:hAnsiTheme="minorHAnsi"/>
          <w:sz w:val="24"/>
          <w:szCs w:val="24"/>
        </w:rPr>
        <w:t xml:space="preserve">В сегменте двухкомнатных квартир максимальное предложение объектов приходится на диапазоны от 40 до 50 кв. м, что составляет 61,9%. Также популярен диапазон от 50 до 60 кв. м, что занимает 15% рынка по данному сегменту. </w:t>
      </w:r>
    </w:p>
    <w:p w:rsidR="00823DF3" w:rsidRPr="00823DF3" w:rsidRDefault="00823DF3" w:rsidP="00823DF3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823DF3">
        <w:rPr>
          <w:rFonts w:asciiTheme="minorHAnsi" w:hAnsiTheme="minorHAnsi"/>
          <w:sz w:val="24"/>
          <w:szCs w:val="24"/>
        </w:rPr>
        <w:t xml:space="preserve"> </w:t>
      </w:r>
    </w:p>
    <w:p w:rsidR="00823DF3" w:rsidRPr="00823DF3" w:rsidRDefault="00823DF3" w:rsidP="00823DF3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823DF3">
        <w:rPr>
          <w:rFonts w:asciiTheme="minorHAnsi" w:hAnsiTheme="minorHAnsi"/>
          <w:sz w:val="24"/>
          <w:szCs w:val="24"/>
        </w:rPr>
        <w:t xml:space="preserve">По трехкомнатным квартирам максимальное число предложения объектов находится в диапазоне общей площади от 50 до 65 кв. м и от 65 до 80 кв. м, что занимает 49,1% и 22,4% соответственно от всего объема по данному типу квартир. </w:t>
      </w:r>
    </w:p>
    <w:p w:rsidR="008F5AC7" w:rsidRPr="008F5AC7" w:rsidRDefault="008F5AC7" w:rsidP="008F5AC7">
      <w:pPr>
        <w:pStyle w:val="Tabledate"/>
        <w:jc w:val="left"/>
        <w:rPr>
          <w:rFonts w:asciiTheme="minorHAnsi" w:hAnsiTheme="minorHAnsi"/>
          <w:sz w:val="24"/>
          <w:szCs w:val="24"/>
        </w:rPr>
      </w:pPr>
    </w:p>
    <w:p w:rsidR="008F5AC7" w:rsidRPr="008F5AC7" w:rsidRDefault="008F5AC7" w:rsidP="00355052">
      <w:pPr>
        <w:pStyle w:val="Tabledate"/>
        <w:jc w:val="left"/>
        <w:rPr>
          <w:rFonts w:asciiTheme="minorHAnsi" w:hAnsiTheme="minorHAnsi"/>
        </w:rPr>
      </w:pPr>
      <w:r w:rsidRPr="008F5AC7">
        <w:rPr>
          <w:rFonts w:asciiTheme="minorHAnsi" w:hAnsiTheme="minorHAnsi"/>
          <w:i/>
          <w:iCs/>
        </w:rPr>
        <w:t>Диапазоны площади, кв. м</w:t>
      </w:r>
    </w:p>
    <w:p w:rsidR="00355052" w:rsidRDefault="00355052" w:rsidP="00355052">
      <w:pPr>
        <w:pStyle w:val="Tabledate"/>
        <w:jc w:val="left"/>
        <w:rPr>
          <w:rFonts w:asciiTheme="minorHAnsi" w:hAnsiTheme="minorHAnsi"/>
          <w:i/>
          <w:iCs/>
        </w:rPr>
      </w:pPr>
    </w:p>
    <w:p w:rsidR="00355052" w:rsidRDefault="00355052" w:rsidP="00355052">
      <w:pPr>
        <w:pStyle w:val="Tabledate"/>
        <w:jc w:val="left"/>
        <w:rPr>
          <w:rFonts w:asciiTheme="minorHAnsi" w:hAnsiTheme="minorHAnsi"/>
          <w:i/>
          <w:iCs/>
        </w:rPr>
        <w:sectPr w:rsidR="00355052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5AC7" w:rsidRPr="008F5AC7" w:rsidRDefault="008F5AC7" w:rsidP="00355052">
      <w:pPr>
        <w:pStyle w:val="Tabledate"/>
        <w:jc w:val="left"/>
        <w:rPr>
          <w:rFonts w:asciiTheme="minorHAnsi" w:hAnsiTheme="minorHAnsi"/>
        </w:rPr>
      </w:pPr>
      <w:r w:rsidRPr="008F5AC7">
        <w:rPr>
          <w:rFonts w:asciiTheme="minorHAnsi" w:hAnsiTheme="minorHAnsi"/>
          <w:i/>
          <w:iCs/>
        </w:rPr>
        <w:lastRenderedPageBreak/>
        <w:t>Однокомнатные квартиры</w:t>
      </w:r>
    </w:p>
    <w:p w:rsidR="008F5AC7" w:rsidRPr="008F5AC7" w:rsidRDefault="008F5AC7" w:rsidP="00355052">
      <w:pPr>
        <w:pStyle w:val="Tabledate"/>
        <w:jc w:val="left"/>
        <w:rPr>
          <w:rFonts w:asciiTheme="minorHAnsi" w:hAnsiTheme="minorHAnsi"/>
        </w:rPr>
      </w:pPr>
      <w:r w:rsidRPr="008F5AC7">
        <w:rPr>
          <w:rFonts w:asciiTheme="minorHAnsi" w:hAnsiTheme="minorHAnsi"/>
          <w:i/>
          <w:iCs/>
        </w:rPr>
        <w:lastRenderedPageBreak/>
        <w:t>Двухкомнатные квартиры</w:t>
      </w:r>
    </w:p>
    <w:p w:rsidR="00355052" w:rsidRDefault="0035505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355052" w:rsidSect="003550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F5AC7" w:rsidRDefault="00823DF3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823DF3">
        <w:rPr>
          <w:rFonts w:asciiTheme="minorHAnsi" w:hAnsiTheme="minorHAnsi" w:cs="Times New Roman"/>
          <w:sz w:val="22"/>
          <w:szCs w:val="22"/>
        </w:rPr>
        <w:lastRenderedPageBreak/>
        <w:drawing>
          <wp:inline distT="0" distB="0" distL="0" distR="0">
            <wp:extent cx="3200400" cy="1647825"/>
            <wp:effectExtent l="19050" t="0" r="19050" b="0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823DF3">
        <w:rPr>
          <w:rFonts w:asciiTheme="minorHAnsi" w:hAnsiTheme="minorHAnsi" w:cs="Times New Roman"/>
          <w:sz w:val="22"/>
          <w:szCs w:val="22"/>
        </w:rPr>
        <w:drawing>
          <wp:inline distT="0" distB="0" distL="0" distR="0">
            <wp:extent cx="3238500" cy="1714500"/>
            <wp:effectExtent l="19050" t="0" r="19050" b="0"/>
            <wp:docPr id="1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5052" w:rsidRDefault="0035505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355052" w:rsidRDefault="00355052" w:rsidP="00355052">
      <w:pPr>
        <w:pStyle w:val="Tabledate"/>
        <w:rPr>
          <w:rFonts w:asciiTheme="minorHAnsi" w:hAnsiTheme="minorHAnsi"/>
          <w:i/>
          <w:iCs/>
        </w:rPr>
        <w:sectPr w:rsidR="00355052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5052" w:rsidRDefault="00355052" w:rsidP="00355052">
      <w:pPr>
        <w:pStyle w:val="Tabledate"/>
        <w:jc w:val="left"/>
        <w:rPr>
          <w:rFonts w:asciiTheme="minorHAnsi" w:hAnsiTheme="minorHAnsi"/>
          <w:i/>
          <w:iCs/>
        </w:rPr>
      </w:pPr>
      <w:r w:rsidRPr="00355052">
        <w:rPr>
          <w:rFonts w:asciiTheme="minorHAnsi" w:hAnsiTheme="minorHAnsi"/>
          <w:i/>
          <w:iCs/>
        </w:rPr>
        <w:lastRenderedPageBreak/>
        <w:t>Трехкомнатные квартиры</w:t>
      </w:r>
    </w:p>
    <w:p w:rsidR="00355052" w:rsidRPr="00355052" w:rsidRDefault="00355052" w:rsidP="00355052">
      <w:pPr>
        <w:pStyle w:val="Tabledate"/>
        <w:jc w:val="left"/>
        <w:rPr>
          <w:rFonts w:asciiTheme="minorHAnsi" w:hAnsiTheme="minorHAnsi"/>
        </w:rPr>
      </w:pPr>
      <w:r w:rsidRPr="00355052">
        <w:rPr>
          <w:rFonts w:asciiTheme="minorHAnsi" w:hAnsiTheme="minorHAnsi"/>
          <w:i/>
          <w:iCs/>
        </w:rPr>
        <w:lastRenderedPageBreak/>
        <w:t>Многокомнатные квартиры</w:t>
      </w:r>
    </w:p>
    <w:p w:rsidR="00355052" w:rsidRDefault="00355052" w:rsidP="00355052">
      <w:pPr>
        <w:pStyle w:val="Tabledate"/>
        <w:rPr>
          <w:rFonts w:asciiTheme="minorHAnsi" w:hAnsiTheme="minorHAnsi"/>
        </w:rPr>
        <w:sectPr w:rsidR="00355052" w:rsidSect="003550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5052" w:rsidRPr="00355052" w:rsidRDefault="00823DF3" w:rsidP="00355052">
      <w:pPr>
        <w:pStyle w:val="Tabledate"/>
        <w:rPr>
          <w:rFonts w:asciiTheme="minorHAnsi" w:hAnsiTheme="minorHAnsi"/>
        </w:rPr>
      </w:pPr>
      <w:r w:rsidRPr="00823DF3">
        <w:rPr>
          <w:rFonts w:asciiTheme="minorHAnsi" w:hAnsiTheme="minorHAnsi"/>
        </w:rPr>
        <w:lastRenderedPageBreak/>
        <w:drawing>
          <wp:inline distT="0" distB="0" distL="0" distR="0">
            <wp:extent cx="2952750" cy="1581150"/>
            <wp:effectExtent l="19050" t="0" r="19050" b="0"/>
            <wp:docPr id="1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823DF3">
        <w:rPr>
          <w:rFonts w:asciiTheme="minorHAnsi" w:hAnsiTheme="minorHAnsi"/>
        </w:rPr>
        <w:drawing>
          <wp:inline distT="0" distB="0" distL="0" distR="0">
            <wp:extent cx="3086100" cy="1657350"/>
            <wp:effectExtent l="19050" t="0" r="19050" b="0"/>
            <wp:docPr id="2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55052" w:rsidRDefault="0035505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355052" w:rsidRDefault="00355052" w:rsidP="00355052">
      <w:pPr>
        <w:pStyle w:val="Tabledate"/>
        <w:jc w:val="left"/>
        <w:rPr>
          <w:rFonts w:asciiTheme="minorHAnsi" w:hAnsiTheme="minorHAnsi"/>
          <w:sz w:val="24"/>
          <w:szCs w:val="24"/>
          <w:u w:val="single"/>
        </w:rPr>
      </w:pPr>
      <w:r w:rsidRPr="00355052">
        <w:rPr>
          <w:rFonts w:asciiTheme="minorHAnsi" w:hAnsiTheme="minorHAnsi"/>
          <w:sz w:val="24"/>
          <w:szCs w:val="24"/>
          <w:u w:val="single"/>
        </w:rPr>
        <w:t xml:space="preserve">Рынок квартир в строящихся домах </w:t>
      </w:r>
    </w:p>
    <w:p w:rsidR="00355052" w:rsidRPr="00355052" w:rsidRDefault="00355052" w:rsidP="00355052">
      <w:pPr>
        <w:pStyle w:val="Tabledate"/>
        <w:jc w:val="left"/>
        <w:rPr>
          <w:rFonts w:asciiTheme="minorHAnsi" w:hAnsiTheme="minorHAnsi"/>
          <w:sz w:val="24"/>
          <w:szCs w:val="24"/>
        </w:rPr>
      </w:pPr>
    </w:p>
    <w:p w:rsidR="00823DF3" w:rsidRPr="00823DF3" w:rsidRDefault="00823DF3" w:rsidP="00823DF3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823DF3">
        <w:rPr>
          <w:rFonts w:asciiTheme="minorHAnsi" w:hAnsiTheme="minorHAnsi"/>
          <w:sz w:val="24"/>
          <w:szCs w:val="24"/>
        </w:rPr>
        <w:t>За минувший месяц изменение средней цены предложения на первичном рынке квартир в рублевом эквиваленте составило 0,04%, это 24,5 руб. с квадратного метра. Показатель средней цены предложения в марте 2014 года составил 62,9 тыс. руб. за кв. м.</w:t>
      </w:r>
    </w:p>
    <w:p w:rsidR="008F5AC7" w:rsidRDefault="008F5AC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355052" w:rsidRDefault="00355052" w:rsidP="00355052">
      <w:pPr>
        <w:pStyle w:val="Tabledate"/>
        <w:rPr>
          <w:rFonts w:asciiTheme="minorHAnsi" w:hAnsiTheme="minorHAnsi"/>
          <w:i/>
          <w:iCs/>
        </w:rPr>
        <w:sectPr w:rsidR="00355052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5052" w:rsidRDefault="00355052" w:rsidP="00355052">
      <w:pPr>
        <w:pStyle w:val="Tabledate"/>
        <w:jc w:val="left"/>
        <w:rPr>
          <w:rFonts w:asciiTheme="minorHAnsi" w:hAnsiTheme="minorHAnsi"/>
          <w:i/>
          <w:iCs/>
        </w:rPr>
      </w:pPr>
      <w:r w:rsidRPr="00355052">
        <w:rPr>
          <w:rFonts w:asciiTheme="minorHAnsi" w:hAnsiTheme="minorHAnsi"/>
          <w:i/>
          <w:iCs/>
        </w:rPr>
        <w:lastRenderedPageBreak/>
        <w:t>Цена, руб./кв. м</w:t>
      </w:r>
    </w:p>
    <w:p w:rsidR="00355052" w:rsidRPr="00355052" w:rsidRDefault="00355052" w:rsidP="00355052">
      <w:pPr>
        <w:pStyle w:val="Tabledate"/>
        <w:jc w:val="left"/>
        <w:rPr>
          <w:rFonts w:asciiTheme="minorHAnsi" w:hAnsiTheme="minorHAnsi"/>
        </w:rPr>
      </w:pPr>
      <w:r w:rsidRPr="00355052">
        <w:rPr>
          <w:rFonts w:asciiTheme="minorHAnsi" w:hAnsiTheme="minorHAnsi"/>
          <w:i/>
          <w:iCs/>
        </w:rPr>
        <w:lastRenderedPageBreak/>
        <w:t>Изменение цены, % к предыдущему месяцу</w:t>
      </w:r>
    </w:p>
    <w:p w:rsidR="00355052" w:rsidRDefault="00355052" w:rsidP="00355052">
      <w:pPr>
        <w:pStyle w:val="Tabledate"/>
        <w:rPr>
          <w:rFonts w:asciiTheme="minorHAnsi" w:hAnsiTheme="minorHAnsi"/>
        </w:rPr>
        <w:sectPr w:rsidR="00355052" w:rsidSect="003550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5052" w:rsidRPr="00355052" w:rsidRDefault="00355052" w:rsidP="00355052">
      <w:pPr>
        <w:pStyle w:val="Tabledate"/>
        <w:rPr>
          <w:rFonts w:asciiTheme="minorHAnsi" w:hAnsiTheme="minorHAnsi"/>
        </w:rPr>
      </w:pPr>
    </w:p>
    <w:p w:rsidR="00355052" w:rsidRDefault="00823DF3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823DF3">
        <w:rPr>
          <w:rFonts w:asciiTheme="minorHAnsi" w:hAnsiTheme="minorHAnsi" w:cs="Times New Roman"/>
          <w:sz w:val="22"/>
          <w:szCs w:val="22"/>
        </w:rPr>
        <w:drawing>
          <wp:inline distT="0" distB="0" distL="0" distR="0">
            <wp:extent cx="3097213" cy="1800225"/>
            <wp:effectExtent l="19050" t="0" r="26987" b="0"/>
            <wp:docPr id="2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823DF3">
        <w:rPr>
          <w:rFonts w:asciiTheme="minorHAnsi" w:hAnsiTheme="minorHAnsi" w:cs="Times New Roman"/>
          <w:sz w:val="22"/>
          <w:szCs w:val="22"/>
        </w:rPr>
        <w:drawing>
          <wp:inline distT="0" distB="0" distL="0" distR="0">
            <wp:extent cx="3240087" cy="1800225"/>
            <wp:effectExtent l="19050" t="0" r="17463" b="0"/>
            <wp:docPr id="2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55052" w:rsidRDefault="0035505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823DF3" w:rsidRPr="00823DF3" w:rsidRDefault="00823DF3" w:rsidP="00823DF3">
      <w:pPr>
        <w:pStyle w:val="Tabledate"/>
        <w:jc w:val="left"/>
        <w:rPr>
          <w:rFonts w:asciiTheme="minorHAnsi" w:hAnsiTheme="minorHAnsi"/>
          <w:iCs/>
          <w:sz w:val="24"/>
          <w:szCs w:val="24"/>
        </w:rPr>
      </w:pPr>
      <w:r w:rsidRPr="00823DF3">
        <w:rPr>
          <w:rFonts w:asciiTheme="minorHAnsi" w:hAnsiTheme="minorHAnsi"/>
          <w:iCs/>
          <w:sz w:val="24"/>
          <w:szCs w:val="24"/>
        </w:rPr>
        <w:t xml:space="preserve">Доля дешевых объектов, цена квадратного метра которых меньше 50 тыс. руб., составляет 6,5% от общего объема предложения квартир. Большую долю рынка занимает диапазон цены от 50 до 70 тыс. руб. за кв. м, это 69,9% от объема выставленных на продажу квартир в новостройках. Диапазон цены от 70 до 75 тыс. руб. составляет 10,9%. Доля дорогих объектов, цена которых превышает 75 тыс. руб. за кв. м, составляет 12,7% от всего предложения. </w:t>
      </w:r>
    </w:p>
    <w:p w:rsidR="00355052" w:rsidRDefault="00355052" w:rsidP="00355052">
      <w:pPr>
        <w:pStyle w:val="Tabledate"/>
        <w:jc w:val="left"/>
        <w:rPr>
          <w:rFonts w:asciiTheme="minorHAnsi" w:hAnsiTheme="minorHAnsi"/>
          <w:iCs/>
          <w:sz w:val="24"/>
          <w:szCs w:val="24"/>
        </w:rPr>
      </w:pPr>
    </w:p>
    <w:p w:rsidR="00355052" w:rsidRPr="00355052" w:rsidRDefault="00355052" w:rsidP="00355052">
      <w:pPr>
        <w:pStyle w:val="Tabledate"/>
        <w:jc w:val="left"/>
        <w:rPr>
          <w:rFonts w:asciiTheme="minorHAnsi" w:hAnsiTheme="minorHAnsi"/>
          <w:iCs/>
        </w:rPr>
      </w:pPr>
      <w:r w:rsidRPr="00355052">
        <w:rPr>
          <w:rFonts w:asciiTheme="minorHAnsi" w:hAnsiTheme="minorHAnsi"/>
          <w:i/>
          <w:iCs/>
        </w:rPr>
        <w:t>Распределение цены (тыс. руб./кв. м), % от общего объема</w:t>
      </w:r>
    </w:p>
    <w:p w:rsidR="00355052" w:rsidRDefault="00355052" w:rsidP="00355052">
      <w:pPr>
        <w:pStyle w:val="Tabledate"/>
        <w:jc w:val="left"/>
        <w:rPr>
          <w:rFonts w:asciiTheme="minorHAnsi" w:hAnsiTheme="minorHAnsi"/>
          <w:iCs/>
          <w:sz w:val="24"/>
          <w:szCs w:val="24"/>
        </w:rPr>
        <w:sectPr w:rsidR="00355052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5052" w:rsidRDefault="00823DF3" w:rsidP="00355052">
      <w:pPr>
        <w:pStyle w:val="Tabledate"/>
        <w:jc w:val="left"/>
        <w:rPr>
          <w:rFonts w:asciiTheme="minorHAnsi" w:hAnsiTheme="minorHAnsi"/>
          <w:iCs/>
          <w:sz w:val="24"/>
          <w:szCs w:val="24"/>
        </w:rPr>
      </w:pPr>
      <w:r w:rsidRPr="00823DF3">
        <w:rPr>
          <w:rFonts w:asciiTheme="minorHAnsi" w:hAnsiTheme="minorHAnsi"/>
          <w:iCs/>
          <w:sz w:val="24"/>
          <w:szCs w:val="24"/>
        </w:rPr>
        <w:lastRenderedPageBreak/>
        <w:drawing>
          <wp:inline distT="0" distB="0" distL="0" distR="0">
            <wp:extent cx="3098165" cy="1831581"/>
            <wp:effectExtent l="19050" t="0" r="26035" b="0"/>
            <wp:docPr id="2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97CB1" w:rsidRDefault="00C97CB1" w:rsidP="00355052">
      <w:pPr>
        <w:pStyle w:val="Tabledate"/>
        <w:jc w:val="left"/>
        <w:rPr>
          <w:rFonts w:asciiTheme="minorHAnsi" w:hAnsiTheme="minorHAnsi"/>
          <w:iCs/>
          <w:sz w:val="24"/>
          <w:szCs w:val="24"/>
        </w:rPr>
      </w:pPr>
    </w:p>
    <w:p w:rsidR="00823DF3" w:rsidRPr="00355052" w:rsidRDefault="00823DF3" w:rsidP="00355052">
      <w:pPr>
        <w:pStyle w:val="Tabledate"/>
        <w:jc w:val="left"/>
        <w:rPr>
          <w:rFonts w:asciiTheme="minorHAnsi" w:hAnsiTheme="minorHAnsi"/>
          <w:iCs/>
          <w:sz w:val="24"/>
          <w:szCs w:val="24"/>
        </w:rPr>
      </w:pPr>
    </w:p>
    <w:tbl>
      <w:tblPr>
        <w:tblW w:w="4420" w:type="dxa"/>
        <w:tblCellMar>
          <w:left w:w="0" w:type="dxa"/>
          <w:right w:w="0" w:type="dxa"/>
        </w:tblCellMar>
        <w:tblLook w:val="04A0"/>
      </w:tblPr>
      <w:tblGrid>
        <w:gridCol w:w="1280"/>
        <w:gridCol w:w="1460"/>
        <w:gridCol w:w="1680"/>
      </w:tblGrid>
      <w:tr w:rsidR="00823DF3" w:rsidRPr="00355052" w:rsidTr="00355052">
        <w:trPr>
          <w:trHeight w:val="34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Тыс.  руб./</w:t>
            </w:r>
          </w:p>
          <w:p w:rsidR="00823DF3" w:rsidRDefault="00823DF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кв. м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Февраль 2014 г.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Март 2014 г.</w:t>
            </w:r>
          </w:p>
        </w:tc>
      </w:tr>
      <w:tr w:rsidR="00823DF3" w:rsidRPr="00355052" w:rsidTr="00355052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8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&lt;50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8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6.38%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8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6.51%</w:t>
            </w:r>
          </w:p>
        </w:tc>
      </w:tr>
      <w:tr w:rsidR="00823DF3" w:rsidRPr="00355052" w:rsidTr="00355052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8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50-55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8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14.35%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8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11.39%</w:t>
            </w:r>
          </w:p>
        </w:tc>
      </w:tr>
      <w:tr w:rsidR="00823DF3" w:rsidRPr="00355052" w:rsidTr="00355052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8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55-60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8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22.80%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8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21.98%</w:t>
            </w:r>
          </w:p>
        </w:tc>
      </w:tr>
      <w:tr w:rsidR="00823DF3" w:rsidRPr="00355052" w:rsidTr="00355052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8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60-65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8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19.49%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8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19.73%</w:t>
            </w:r>
          </w:p>
        </w:tc>
      </w:tr>
      <w:tr w:rsidR="00823DF3" w:rsidRPr="00355052" w:rsidTr="00355052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8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65-70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8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14.06%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8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16.77%</w:t>
            </w:r>
          </w:p>
        </w:tc>
      </w:tr>
      <w:tr w:rsidR="00823DF3" w:rsidRPr="00355052" w:rsidTr="00355052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8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70-75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8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9.57%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8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10.89%</w:t>
            </w:r>
          </w:p>
        </w:tc>
      </w:tr>
      <w:tr w:rsidR="00823DF3" w:rsidRPr="00355052" w:rsidTr="00355052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8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75-80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8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7.97%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8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6.96%</w:t>
            </w:r>
          </w:p>
        </w:tc>
      </w:tr>
      <w:tr w:rsidR="00823DF3" w:rsidRPr="00355052" w:rsidTr="00355052">
        <w:trPr>
          <w:trHeight w:val="2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8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&gt;80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8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5.38%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284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5.77%</w:t>
            </w:r>
          </w:p>
        </w:tc>
      </w:tr>
    </w:tbl>
    <w:p w:rsidR="00355052" w:rsidRDefault="00355052" w:rsidP="00355052">
      <w:pPr>
        <w:pStyle w:val="Tabledate"/>
        <w:jc w:val="left"/>
        <w:rPr>
          <w:rFonts w:asciiTheme="minorHAnsi" w:hAnsiTheme="minorHAnsi"/>
          <w:iCs/>
          <w:sz w:val="24"/>
          <w:szCs w:val="24"/>
        </w:rPr>
        <w:sectPr w:rsidR="00355052" w:rsidSect="003550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5052" w:rsidRPr="00355052" w:rsidRDefault="00355052" w:rsidP="00355052">
      <w:pPr>
        <w:pStyle w:val="Tabledate"/>
        <w:jc w:val="left"/>
        <w:rPr>
          <w:rFonts w:asciiTheme="minorHAnsi" w:hAnsiTheme="minorHAnsi"/>
          <w:iCs/>
          <w:sz w:val="24"/>
          <w:szCs w:val="24"/>
        </w:rPr>
      </w:pPr>
    </w:p>
    <w:p w:rsidR="00823DF3" w:rsidRPr="00823DF3" w:rsidRDefault="00823DF3" w:rsidP="00823DF3">
      <w:pPr>
        <w:pStyle w:val="Tabledate"/>
        <w:jc w:val="left"/>
        <w:rPr>
          <w:rFonts w:asciiTheme="minorHAnsi" w:hAnsiTheme="minorHAnsi"/>
          <w:iCs/>
          <w:sz w:val="24"/>
          <w:szCs w:val="24"/>
        </w:rPr>
      </w:pPr>
      <w:r w:rsidRPr="00823DF3">
        <w:rPr>
          <w:rFonts w:asciiTheme="minorHAnsi" w:hAnsiTheme="minorHAnsi"/>
          <w:iCs/>
          <w:sz w:val="24"/>
          <w:szCs w:val="24"/>
        </w:rPr>
        <w:t xml:space="preserve">В структуре предложения на рынке строящихся квартир преобладают в основном квартиры, имеющие не более двух комнат. Доля однокомнатных квартир на конец месяца составляет 45,3% рынка, двухкомнатных – 32,9%. </w:t>
      </w:r>
      <w:proofErr w:type="gramStart"/>
      <w:r w:rsidRPr="00823DF3">
        <w:rPr>
          <w:rFonts w:asciiTheme="minorHAnsi" w:hAnsiTheme="minorHAnsi"/>
          <w:iCs/>
          <w:sz w:val="24"/>
          <w:szCs w:val="24"/>
        </w:rPr>
        <w:t>Трехкомнатные</w:t>
      </w:r>
      <w:proofErr w:type="gramEnd"/>
      <w:r w:rsidRPr="00823DF3">
        <w:rPr>
          <w:rFonts w:asciiTheme="minorHAnsi" w:hAnsiTheme="minorHAnsi"/>
          <w:iCs/>
          <w:sz w:val="24"/>
          <w:szCs w:val="24"/>
        </w:rPr>
        <w:t xml:space="preserve"> занимают долю 21,2%. На многокомнатные (от четырех комнат) в среднем приходится 0,7% от общего объема. </w:t>
      </w:r>
    </w:p>
    <w:p w:rsidR="00355052" w:rsidRDefault="00355052" w:rsidP="00355052">
      <w:pPr>
        <w:pStyle w:val="Tabledate"/>
        <w:jc w:val="left"/>
        <w:rPr>
          <w:rFonts w:asciiTheme="minorHAnsi" w:hAnsiTheme="minorHAnsi"/>
          <w:i/>
          <w:iCs/>
        </w:rPr>
      </w:pPr>
    </w:p>
    <w:p w:rsidR="00355052" w:rsidRPr="00355052" w:rsidRDefault="00355052" w:rsidP="00355052">
      <w:pPr>
        <w:pStyle w:val="Tabledate"/>
        <w:jc w:val="left"/>
        <w:rPr>
          <w:rFonts w:asciiTheme="minorHAnsi" w:hAnsiTheme="minorHAnsi"/>
          <w:i/>
          <w:iCs/>
        </w:rPr>
      </w:pPr>
      <w:r w:rsidRPr="00355052">
        <w:rPr>
          <w:rFonts w:asciiTheme="minorHAnsi" w:hAnsiTheme="minorHAnsi"/>
          <w:i/>
          <w:iCs/>
        </w:rPr>
        <w:t>Структура по типам квартир, % от общего объема</w:t>
      </w:r>
    </w:p>
    <w:p w:rsidR="00355052" w:rsidRDefault="00823DF3" w:rsidP="00355052">
      <w:pPr>
        <w:pStyle w:val="Tabledate"/>
        <w:jc w:val="left"/>
        <w:rPr>
          <w:rFonts w:asciiTheme="minorHAnsi" w:hAnsiTheme="minorHAnsi"/>
          <w:i/>
          <w:iCs/>
        </w:rPr>
      </w:pPr>
      <w:r w:rsidRPr="00823DF3">
        <w:rPr>
          <w:rFonts w:asciiTheme="minorHAnsi" w:hAnsiTheme="minorHAnsi"/>
          <w:i/>
          <w:iCs/>
        </w:rPr>
        <w:drawing>
          <wp:inline distT="0" distB="0" distL="0" distR="0">
            <wp:extent cx="2879725" cy="1658938"/>
            <wp:effectExtent l="19050" t="0" r="15875" b="0"/>
            <wp:docPr id="2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823DF3">
        <w:rPr>
          <w:rFonts w:asciiTheme="minorHAnsi" w:hAnsiTheme="minorHAnsi"/>
          <w:i/>
          <w:iCs/>
        </w:rPr>
        <w:drawing>
          <wp:inline distT="0" distB="0" distL="0" distR="0">
            <wp:extent cx="2879725" cy="1658937"/>
            <wp:effectExtent l="19050" t="0" r="15875" b="0"/>
            <wp:docPr id="26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55052" w:rsidRDefault="00355052" w:rsidP="00355052">
      <w:pPr>
        <w:pStyle w:val="Tabledate"/>
        <w:jc w:val="left"/>
        <w:rPr>
          <w:rFonts w:asciiTheme="minorHAnsi" w:hAnsiTheme="minorHAnsi"/>
          <w:i/>
          <w:iCs/>
        </w:rPr>
      </w:pPr>
    </w:p>
    <w:p w:rsidR="00823DF3" w:rsidRPr="00823DF3" w:rsidRDefault="00823DF3" w:rsidP="00823DF3">
      <w:pPr>
        <w:pStyle w:val="Tabledate"/>
        <w:jc w:val="left"/>
        <w:rPr>
          <w:rFonts w:asciiTheme="minorHAnsi" w:hAnsiTheme="minorHAnsi"/>
          <w:iCs/>
          <w:sz w:val="24"/>
          <w:szCs w:val="24"/>
        </w:rPr>
      </w:pPr>
      <w:r w:rsidRPr="00823DF3">
        <w:rPr>
          <w:rFonts w:asciiTheme="minorHAnsi" w:hAnsiTheme="minorHAnsi"/>
          <w:iCs/>
          <w:sz w:val="24"/>
          <w:szCs w:val="24"/>
        </w:rPr>
        <w:t xml:space="preserve">В среднем по первичному рынку изменение средней цены предложения на однокомнатные квартиры составило 0,4%. Цена квадратного метра двухкомнатных понизилась на 0,5%, изменение стоимости трехкомнатных составило 0,2%. Средние цены предложения за рассматриваемый период составили на однокомнатные квартиры 2,8 </w:t>
      </w:r>
      <w:proofErr w:type="spellStart"/>
      <w:proofErr w:type="gramStart"/>
      <w:r w:rsidRPr="00823DF3">
        <w:rPr>
          <w:rFonts w:asciiTheme="minorHAnsi" w:hAnsiTheme="minorHAnsi"/>
          <w:iCs/>
          <w:sz w:val="24"/>
          <w:szCs w:val="24"/>
        </w:rPr>
        <w:t>млн</w:t>
      </w:r>
      <w:proofErr w:type="spellEnd"/>
      <w:proofErr w:type="gramEnd"/>
      <w:r w:rsidRPr="00823DF3">
        <w:rPr>
          <w:rFonts w:asciiTheme="minorHAnsi" w:hAnsiTheme="minorHAnsi"/>
          <w:iCs/>
          <w:sz w:val="24"/>
          <w:szCs w:val="24"/>
        </w:rPr>
        <w:t xml:space="preserve"> руб., на двухкомнатные – 3,9 </w:t>
      </w:r>
      <w:proofErr w:type="spellStart"/>
      <w:r w:rsidRPr="00823DF3">
        <w:rPr>
          <w:rFonts w:asciiTheme="minorHAnsi" w:hAnsiTheme="minorHAnsi"/>
          <w:iCs/>
          <w:sz w:val="24"/>
          <w:szCs w:val="24"/>
        </w:rPr>
        <w:t>млн</w:t>
      </w:r>
      <w:proofErr w:type="spellEnd"/>
      <w:r w:rsidRPr="00823DF3">
        <w:rPr>
          <w:rFonts w:asciiTheme="minorHAnsi" w:hAnsiTheme="minorHAnsi"/>
          <w:iCs/>
          <w:sz w:val="24"/>
          <w:szCs w:val="24"/>
        </w:rPr>
        <w:t xml:space="preserve"> руб., на трехкомнатные – 4,8 </w:t>
      </w:r>
      <w:proofErr w:type="spellStart"/>
      <w:r w:rsidRPr="00823DF3">
        <w:rPr>
          <w:rFonts w:asciiTheme="minorHAnsi" w:hAnsiTheme="minorHAnsi"/>
          <w:iCs/>
          <w:sz w:val="24"/>
          <w:szCs w:val="24"/>
        </w:rPr>
        <w:t>млн</w:t>
      </w:r>
      <w:proofErr w:type="spellEnd"/>
      <w:r w:rsidRPr="00823DF3">
        <w:rPr>
          <w:rFonts w:asciiTheme="minorHAnsi" w:hAnsiTheme="minorHAnsi"/>
          <w:iCs/>
          <w:sz w:val="24"/>
          <w:szCs w:val="24"/>
        </w:rPr>
        <w:t xml:space="preserve"> руб.</w:t>
      </w:r>
    </w:p>
    <w:p w:rsidR="00355052" w:rsidRDefault="00355052" w:rsidP="00355052">
      <w:pPr>
        <w:pStyle w:val="Tabledate"/>
        <w:jc w:val="left"/>
        <w:rPr>
          <w:rFonts w:asciiTheme="minorHAnsi" w:hAnsiTheme="minorHAnsi"/>
          <w:i/>
          <w:iCs/>
        </w:rPr>
      </w:pPr>
    </w:p>
    <w:p w:rsidR="00355052" w:rsidRPr="00355052" w:rsidRDefault="00355052" w:rsidP="00355052">
      <w:pPr>
        <w:pStyle w:val="Tabledate"/>
        <w:jc w:val="left"/>
        <w:rPr>
          <w:rFonts w:asciiTheme="minorHAnsi" w:hAnsiTheme="minorHAnsi"/>
          <w:i/>
          <w:iCs/>
        </w:rPr>
      </w:pPr>
      <w:r w:rsidRPr="00355052">
        <w:rPr>
          <w:rFonts w:asciiTheme="minorHAnsi" w:hAnsiTheme="minorHAnsi"/>
          <w:i/>
          <w:iCs/>
        </w:rPr>
        <w:t>Цена по типу квартир, руб./кв. м</w:t>
      </w:r>
    </w:p>
    <w:p w:rsidR="00355052" w:rsidRDefault="00355052" w:rsidP="00355052">
      <w:pPr>
        <w:pStyle w:val="Tabledate"/>
        <w:jc w:val="left"/>
        <w:rPr>
          <w:rFonts w:asciiTheme="minorHAnsi" w:hAnsiTheme="minorHAnsi"/>
          <w:i/>
          <w:iCs/>
        </w:rPr>
      </w:pPr>
    </w:p>
    <w:p w:rsidR="00355052" w:rsidRDefault="00355052" w:rsidP="00355052">
      <w:pPr>
        <w:pStyle w:val="Tabledate"/>
        <w:jc w:val="left"/>
        <w:rPr>
          <w:rFonts w:asciiTheme="minorHAnsi" w:hAnsiTheme="minorHAnsi"/>
        </w:rPr>
        <w:sectPr w:rsidR="00355052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5052" w:rsidRPr="00355052" w:rsidRDefault="00823DF3" w:rsidP="00355052">
      <w:pPr>
        <w:pStyle w:val="Tabledate"/>
        <w:jc w:val="left"/>
        <w:rPr>
          <w:rFonts w:asciiTheme="minorHAnsi" w:hAnsiTheme="minorHAnsi"/>
        </w:rPr>
      </w:pPr>
      <w:r w:rsidRPr="00823DF3">
        <w:rPr>
          <w:rFonts w:asciiTheme="minorHAnsi" w:hAnsiTheme="minorHAnsi"/>
        </w:rPr>
        <w:lastRenderedPageBreak/>
        <w:drawing>
          <wp:inline distT="0" distB="0" distL="0" distR="0">
            <wp:extent cx="3097213" cy="1728788"/>
            <wp:effectExtent l="19050" t="0" r="26987" b="4762"/>
            <wp:docPr id="2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W w:w="4977" w:type="dxa"/>
        <w:tblCellMar>
          <w:left w:w="0" w:type="dxa"/>
          <w:right w:w="0" w:type="dxa"/>
        </w:tblCellMar>
        <w:tblLook w:val="04A0"/>
      </w:tblPr>
      <w:tblGrid>
        <w:gridCol w:w="580"/>
        <w:gridCol w:w="1000"/>
        <w:gridCol w:w="1020"/>
        <w:gridCol w:w="1140"/>
        <w:gridCol w:w="1237"/>
      </w:tblGrid>
      <w:tr w:rsidR="00823DF3" w:rsidRPr="00355052" w:rsidTr="004A4876">
        <w:trPr>
          <w:trHeight w:val="412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Pr="00355052" w:rsidRDefault="00823DF3" w:rsidP="003550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Цена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Февраль </w:t>
            </w:r>
          </w:p>
          <w:p w:rsidR="00823DF3" w:rsidRDefault="00823DF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Март </w:t>
            </w:r>
          </w:p>
          <w:p w:rsidR="00823DF3" w:rsidRDefault="00823DF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Изменение </w:t>
            </w:r>
          </w:p>
          <w:p w:rsidR="00823DF3" w:rsidRDefault="00823DF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за месяц</w:t>
            </w:r>
          </w:p>
        </w:tc>
      </w:tr>
      <w:tr w:rsidR="00823DF3" w:rsidRPr="00355052" w:rsidTr="004A4876">
        <w:trPr>
          <w:trHeight w:val="25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F3" w:rsidRPr="00355052" w:rsidRDefault="00823DF3" w:rsidP="00355052">
            <w:pPr>
              <w:spacing w:after="0" w:line="251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55052">
              <w:rPr>
                <w:rFonts w:eastAsia="Times New Roman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1ккв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2 828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2 839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823DF3" w:rsidRPr="00355052" w:rsidTr="004A4876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DF3" w:rsidRPr="00355052" w:rsidRDefault="00823DF3" w:rsidP="00355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65 988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66 268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0.42%</w:t>
            </w:r>
          </w:p>
        </w:tc>
      </w:tr>
      <w:tr w:rsidR="00823DF3" w:rsidRPr="00355052" w:rsidTr="004A4876">
        <w:trPr>
          <w:trHeight w:val="25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F3" w:rsidRPr="00355052" w:rsidRDefault="00823DF3" w:rsidP="00355052">
            <w:pPr>
              <w:spacing w:after="0" w:line="251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55052">
              <w:rPr>
                <w:rFonts w:eastAsia="Times New Roman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2ккв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3 913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3 889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823DF3" w:rsidRPr="00355052" w:rsidTr="004A4876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DF3" w:rsidRPr="00355052" w:rsidRDefault="00823DF3" w:rsidP="00355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61 470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61 167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-0.49%</w:t>
            </w:r>
          </w:p>
        </w:tc>
      </w:tr>
      <w:tr w:rsidR="00823DF3" w:rsidRPr="00355052" w:rsidTr="004A4876">
        <w:trPr>
          <w:trHeight w:val="25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F3" w:rsidRPr="00355052" w:rsidRDefault="00823DF3" w:rsidP="00355052">
            <w:pPr>
              <w:spacing w:after="0" w:line="251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55052">
              <w:rPr>
                <w:rFonts w:eastAsia="Times New Roman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3ккв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4 754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4 777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823DF3" w:rsidRPr="00355052" w:rsidTr="004A4876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DF3" w:rsidRPr="00355052" w:rsidRDefault="00823DF3" w:rsidP="00355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57 838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57 938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33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0.17%</w:t>
            </w:r>
          </w:p>
        </w:tc>
      </w:tr>
    </w:tbl>
    <w:p w:rsidR="00355052" w:rsidRDefault="00355052" w:rsidP="00355052">
      <w:pPr>
        <w:pStyle w:val="Tabledate"/>
        <w:jc w:val="left"/>
        <w:rPr>
          <w:rFonts w:asciiTheme="minorHAnsi" w:hAnsiTheme="minorHAnsi"/>
        </w:rPr>
        <w:sectPr w:rsidR="00355052" w:rsidSect="003550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5052" w:rsidRPr="00355052" w:rsidRDefault="00355052" w:rsidP="00355052">
      <w:pPr>
        <w:pStyle w:val="Tabledate"/>
        <w:jc w:val="left"/>
        <w:rPr>
          <w:rFonts w:asciiTheme="minorHAnsi" w:hAnsiTheme="minorHAnsi"/>
        </w:rPr>
      </w:pPr>
    </w:p>
    <w:p w:rsidR="00823DF3" w:rsidRPr="00823DF3" w:rsidRDefault="00823DF3" w:rsidP="00823DF3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823DF3">
        <w:rPr>
          <w:rFonts w:asciiTheme="minorHAnsi" w:hAnsiTheme="minorHAnsi"/>
          <w:sz w:val="24"/>
          <w:szCs w:val="24"/>
        </w:rPr>
        <w:t xml:space="preserve">Максимальное количество предложений однокомнатных квартир, выставленных на продажу, зафиксировано в диапазоне от 35 до 40 кв. м и от 40 до 45 кв. м общей площади, что занимает 34,1% и 24,3% соответственно от всего объема по указанному типу. </w:t>
      </w:r>
    </w:p>
    <w:p w:rsidR="00823DF3" w:rsidRPr="00823DF3" w:rsidRDefault="00823DF3" w:rsidP="00823DF3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823DF3">
        <w:rPr>
          <w:rFonts w:asciiTheme="minorHAnsi" w:hAnsiTheme="minorHAnsi"/>
          <w:sz w:val="24"/>
          <w:szCs w:val="24"/>
        </w:rPr>
        <w:t xml:space="preserve"> </w:t>
      </w:r>
    </w:p>
    <w:p w:rsidR="00823DF3" w:rsidRPr="00823DF3" w:rsidRDefault="00823DF3" w:rsidP="00823DF3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823DF3">
        <w:rPr>
          <w:rFonts w:asciiTheme="minorHAnsi" w:hAnsiTheme="minorHAnsi"/>
          <w:sz w:val="24"/>
          <w:szCs w:val="24"/>
        </w:rPr>
        <w:t xml:space="preserve">В сегменте двухкомнатных квартир максимальное предложение объектов приходится на диапазоны от 60 до 70 кв. м, что составляет 39,1%. Также популярен диапазон от 50 до 60 кв. м, что занимает 37,5% рынка по данному сегменту. </w:t>
      </w:r>
    </w:p>
    <w:p w:rsidR="00823DF3" w:rsidRPr="00823DF3" w:rsidRDefault="00823DF3" w:rsidP="00823DF3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823DF3">
        <w:rPr>
          <w:rFonts w:asciiTheme="minorHAnsi" w:hAnsiTheme="minorHAnsi"/>
          <w:sz w:val="24"/>
          <w:szCs w:val="24"/>
        </w:rPr>
        <w:t xml:space="preserve"> </w:t>
      </w:r>
    </w:p>
    <w:p w:rsidR="00823DF3" w:rsidRPr="00823DF3" w:rsidRDefault="00823DF3" w:rsidP="00823DF3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823DF3">
        <w:rPr>
          <w:rFonts w:asciiTheme="minorHAnsi" w:hAnsiTheme="minorHAnsi"/>
          <w:sz w:val="24"/>
          <w:szCs w:val="24"/>
        </w:rPr>
        <w:t xml:space="preserve">По трехкомнатным квартирам максимальное число предложения объектов находится в диапазоне общей площади от 60 до 75 кв. м и от 75 до 90 кв. м, что занимает 48,4% и 27,1% от всего объема по данному типу квартир. </w:t>
      </w:r>
    </w:p>
    <w:p w:rsidR="008F5AC7" w:rsidRDefault="008F5AC7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355052" w:rsidRPr="00355052" w:rsidRDefault="00355052" w:rsidP="00355052">
      <w:pPr>
        <w:pStyle w:val="Tabledate"/>
        <w:jc w:val="left"/>
        <w:rPr>
          <w:rFonts w:asciiTheme="minorHAnsi" w:hAnsiTheme="minorHAnsi"/>
        </w:rPr>
      </w:pPr>
      <w:r w:rsidRPr="00355052">
        <w:rPr>
          <w:rFonts w:asciiTheme="minorHAnsi" w:hAnsiTheme="minorHAnsi"/>
          <w:i/>
          <w:iCs/>
        </w:rPr>
        <w:t>Диапазоны площади, кв. м</w:t>
      </w:r>
    </w:p>
    <w:p w:rsidR="00355052" w:rsidRDefault="00355052" w:rsidP="00355052">
      <w:pPr>
        <w:pStyle w:val="Tabledate"/>
        <w:jc w:val="left"/>
        <w:rPr>
          <w:rFonts w:asciiTheme="minorHAnsi" w:hAnsiTheme="minorHAnsi"/>
          <w:i/>
          <w:iCs/>
        </w:rPr>
      </w:pPr>
    </w:p>
    <w:p w:rsidR="00355052" w:rsidRDefault="00355052" w:rsidP="00355052">
      <w:pPr>
        <w:pStyle w:val="Tabledate"/>
        <w:jc w:val="left"/>
        <w:rPr>
          <w:rFonts w:asciiTheme="minorHAnsi" w:hAnsiTheme="minorHAnsi"/>
          <w:i/>
          <w:iCs/>
        </w:rPr>
        <w:sectPr w:rsidR="00355052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5052" w:rsidRPr="00355052" w:rsidRDefault="00355052" w:rsidP="00355052">
      <w:pPr>
        <w:pStyle w:val="Tabledate"/>
        <w:jc w:val="left"/>
        <w:rPr>
          <w:rFonts w:asciiTheme="minorHAnsi" w:hAnsiTheme="minorHAnsi"/>
        </w:rPr>
      </w:pPr>
      <w:r w:rsidRPr="00355052">
        <w:rPr>
          <w:rFonts w:asciiTheme="minorHAnsi" w:hAnsiTheme="minorHAnsi"/>
          <w:i/>
          <w:iCs/>
        </w:rPr>
        <w:lastRenderedPageBreak/>
        <w:t>Однокомнатные квартиры</w:t>
      </w:r>
    </w:p>
    <w:p w:rsidR="00355052" w:rsidRPr="00355052" w:rsidRDefault="00355052" w:rsidP="00355052">
      <w:pPr>
        <w:pStyle w:val="Tabledate"/>
        <w:jc w:val="left"/>
        <w:rPr>
          <w:rFonts w:asciiTheme="minorHAnsi" w:hAnsiTheme="minorHAnsi"/>
        </w:rPr>
      </w:pPr>
      <w:r w:rsidRPr="00355052">
        <w:rPr>
          <w:rFonts w:asciiTheme="minorHAnsi" w:hAnsiTheme="minorHAnsi"/>
          <w:i/>
          <w:iCs/>
        </w:rPr>
        <w:lastRenderedPageBreak/>
        <w:t>Двухкомнатные квартиры</w:t>
      </w:r>
    </w:p>
    <w:p w:rsidR="00355052" w:rsidRDefault="0035505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355052" w:rsidSect="003550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5052" w:rsidRDefault="00823DF3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823DF3">
        <w:rPr>
          <w:rFonts w:asciiTheme="minorHAnsi" w:hAnsiTheme="minorHAnsi" w:cs="Times New Roman"/>
          <w:noProof/>
          <w:sz w:val="22"/>
          <w:szCs w:val="22"/>
        </w:rPr>
        <w:lastRenderedPageBreak/>
        <w:drawing>
          <wp:inline distT="0" distB="0" distL="0" distR="0">
            <wp:extent cx="3181350" cy="1514475"/>
            <wp:effectExtent l="19050" t="0" r="19050" b="0"/>
            <wp:docPr id="29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823DF3">
        <w:rPr>
          <w:rFonts w:asciiTheme="minorHAnsi" w:hAnsiTheme="minorHAnsi" w:cs="Times New Roman"/>
          <w:sz w:val="22"/>
          <w:szCs w:val="22"/>
        </w:rPr>
        <w:drawing>
          <wp:inline distT="0" distB="0" distL="0" distR="0">
            <wp:extent cx="3095625" cy="1609725"/>
            <wp:effectExtent l="19050" t="0" r="9525" b="0"/>
            <wp:docPr id="34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55052" w:rsidRDefault="0035505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355052" w:rsidRDefault="0035505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355052" w:rsidRDefault="00355052" w:rsidP="00355052">
      <w:pPr>
        <w:pStyle w:val="Tabledate"/>
        <w:rPr>
          <w:rFonts w:asciiTheme="minorHAnsi" w:hAnsiTheme="minorHAnsi"/>
          <w:i/>
          <w:iCs/>
        </w:rPr>
        <w:sectPr w:rsidR="00355052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5052" w:rsidRPr="00355052" w:rsidRDefault="00355052" w:rsidP="00355052">
      <w:pPr>
        <w:pStyle w:val="Tabledate"/>
        <w:jc w:val="left"/>
        <w:rPr>
          <w:rFonts w:asciiTheme="minorHAnsi" w:hAnsiTheme="minorHAnsi"/>
        </w:rPr>
      </w:pPr>
      <w:r w:rsidRPr="00355052">
        <w:rPr>
          <w:rFonts w:asciiTheme="minorHAnsi" w:hAnsiTheme="minorHAnsi"/>
          <w:i/>
          <w:iCs/>
        </w:rPr>
        <w:lastRenderedPageBreak/>
        <w:t>Трехкомнатные квартиры</w:t>
      </w:r>
    </w:p>
    <w:p w:rsidR="00355052" w:rsidRDefault="0035505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355052" w:rsidSect="003550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5052" w:rsidRDefault="00823DF3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823DF3">
        <w:rPr>
          <w:rFonts w:asciiTheme="minorHAnsi" w:hAnsiTheme="minorHAnsi" w:cs="Times New Roman"/>
          <w:sz w:val="22"/>
          <w:szCs w:val="22"/>
        </w:rPr>
        <w:lastRenderedPageBreak/>
        <w:drawing>
          <wp:inline distT="0" distB="0" distL="0" distR="0">
            <wp:extent cx="3311525" cy="1873250"/>
            <wp:effectExtent l="19050" t="0" r="22225" b="0"/>
            <wp:docPr id="35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55052" w:rsidRDefault="0035505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355052" w:rsidRPr="00355052" w:rsidRDefault="00355052" w:rsidP="00355052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355052">
        <w:rPr>
          <w:rFonts w:asciiTheme="minorHAnsi" w:hAnsiTheme="minorHAnsi"/>
          <w:sz w:val="24"/>
          <w:szCs w:val="24"/>
          <w:u w:val="single"/>
        </w:rPr>
        <w:t xml:space="preserve">Рынок аренды жилья </w:t>
      </w:r>
    </w:p>
    <w:p w:rsidR="00355052" w:rsidRDefault="0035505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823DF3" w:rsidRPr="00823DF3" w:rsidRDefault="00823DF3" w:rsidP="00823DF3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823DF3">
        <w:rPr>
          <w:rFonts w:asciiTheme="minorHAnsi" w:hAnsiTheme="minorHAnsi"/>
          <w:sz w:val="24"/>
          <w:szCs w:val="24"/>
        </w:rPr>
        <w:t>За минувший месяц изменение средней цены предложения на рынке аренды однокомнатных квартир составило минус 4,7%, средняя стоимость в марте 2014 года – 19,6 тыс. руб. в месяц. Двухкомнатные показали минус 0,7% снижения, средняя цена аренды составила 25,7 тыс. руб. в месяц. Стоимость аренды трехкомнатных квартир на конец месяца составила 36,6 тыс. руб. в месяц, что на 1,2% ниже прошлого месяца. Средняя цена предложения комнат понизилась на 3,5%, средняя стоимости аренды в месяц – 9,6 тыс. руб.</w:t>
      </w:r>
    </w:p>
    <w:p w:rsidR="00355052" w:rsidRDefault="0035505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355052" w:rsidRPr="00355052" w:rsidRDefault="00355052" w:rsidP="00355052">
      <w:pPr>
        <w:pStyle w:val="Tabledate"/>
        <w:jc w:val="left"/>
        <w:rPr>
          <w:rFonts w:asciiTheme="minorHAnsi" w:hAnsiTheme="minorHAnsi"/>
        </w:rPr>
      </w:pPr>
      <w:r w:rsidRPr="00355052">
        <w:rPr>
          <w:rFonts w:asciiTheme="minorHAnsi" w:hAnsiTheme="minorHAnsi"/>
          <w:i/>
          <w:iCs/>
        </w:rPr>
        <w:t>Цена, руб./в мес.</w:t>
      </w:r>
    </w:p>
    <w:p w:rsidR="00355052" w:rsidRDefault="0035505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355052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5052" w:rsidRDefault="00823DF3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823DF3">
        <w:rPr>
          <w:rFonts w:asciiTheme="minorHAnsi" w:hAnsiTheme="minorHAnsi" w:cs="Times New Roman"/>
          <w:sz w:val="22"/>
          <w:szCs w:val="22"/>
        </w:rPr>
        <w:lastRenderedPageBreak/>
        <w:drawing>
          <wp:inline distT="0" distB="0" distL="0" distR="0">
            <wp:extent cx="3098165" cy="1642438"/>
            <wp:effectExtent l="19050" t="0" r="26035" b="0"/>
            <wp:docPr id="36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tbl>
      <w:tblPr>
        <w:tblW w:w="5160" w:type="dxa"/>
        <w:tblCellMar>
          <w:left w:w="0" w:type="dxa"/>
          <w:right w:w="0" w:type="dxa"/>
        </w:tblCellMar>
        <w:tblLook w:val="04A0"/>
      </w:tblPr>
      <w:tblGrid>
        <w:gridCol w:w="1020"/>
        <w:gridCol w:w="1480"/>
        <w:gridCol w:w="1360"/>
        <w:gridCol w:w="1300"/>
      </w:tblGrid>
      <w:tr w:rsidR="00823DF3" w:rsidRPr="00355052" w:rsidTr="00355052">
        <w:trPr>
          <w:trHeight w:val="453"/>
        </w:trPr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Pr="00355052" w:rsidRDefault="00823DF3" w:rsidP="00355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Февраль </w:t>
            </w:r>
          </w:p>
          <w:p w:rsidR="00823DF3" w:rsidRDefault="00823DF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Март </w:t>
            </w:r>
          </w:p>
          <w:p w:rsidR="00823DF3" w:rsidRDefault="00823DF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2014 г.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Изменение </w:t>
            </w:r>
          </w:p>
          <w:p w:rsidR="00823DF3" w:rsidRDefault="00823DF3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8"/>
                <w:szCs w:val="18"/>
              </w:rPr>
              <w:t>за месяц</w:t>
            </w:r>
          </w:p>
        </w:tc>
      </w:tr>
      <w:tr w:rsidR="00823DF3" w:rsidRPr="00355052" w:rsidTr="00355052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Pr="00355052" w:rsidRDefault="00823DF3" w:rsidP="00355052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55052">
              <w:rPr>
                <w:rFonts w:eastAsia="Times New Roman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комнаты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1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10 006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1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9 651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1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-3.54%</w:t>
            </w:r>
          </w:p>
        </w:tc>
      </w:tr>
      <w:tr w:rsidR="00823DF3" w:rsidRPr="00355052" w:rsidTr="00355052">
        <w:trPr>
          <w:trHeight w:val="31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Pr="00355052" w:rsidRDefault="00823DF3" w:rsidP="00355052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55052">
              <w:rPr>
                <w:rFonts w:eastAsia="Times New Roman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1ккв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1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20 560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1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19 592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15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-4.71%</w:t>
            </w:r>
          </w:p>
        </w:tc>
      </w:tr>
      <w:tr w:rsidR="00823DF3" w:rsidRPr="00355052" w:rsidTr="00355052">
        <w:trPr>
          <w:trHeight w:val="30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Pr="00355052" w:rsidRDefault="00823DF3" w:rsidP="00355052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55052">
              <w:rPr>
                <w:rFonts w:eastAsia="Times New Roman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2ккв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25 872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25 703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-0.66%</w:t>
            </w:r>
          </w:p>
        </w:tc>
      </w:tr>
      <w:tr w:rsidR="00823DF3" w:rsidRPr="00355052" w:rsidTr="00355052">
        <w:trPr>
          <w:trHeight w:val="30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Pr="00355052" w:rsidRDefault="00823DF3" w:rsidP="00355052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55052">
              <w:rPr>
                <w:rFonts w:eastAsia="Times New Roman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3ккв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37 081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36 628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3DF3" w:rsidRDefault="00823DF3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-1.22%</w:t>
            </w:r>
          </w:p>
        </w:tc>
      </w:tr>
    </w:tbl>
    <w:p w:rsidR="00355052" w:rsidRDefault="0035505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355052" w:rsidSect="003550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5052" w:rsidRDefault="0035505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823DF3" w:rsidRPr="00823DF3" w:rsidRDefault="00823DF3" w:rsidP="00823DF3">
      <w:pPr>
        <w:pStyle w:val="Tabledate"/>
        <w:jc w:val="left"/>
        <w:rPr>
          <w:rFonts w:asciiTheme="minorHAnsi" w:hAnsiTheme="minorHAnsi"/>
          <w:sz w:val="24"/>
          <w:szCs w:val="24"/>
        </w:rPr>
      </w:pPr>
      <w:r w:rsidRPr="00823DF3">
        <w:rPr>
          <w:rFonts w:asciiTheme="minorHAnsi" w:hAnsiTheme="minorHAnsi"/>
          <w:sz w:val="24"/>
          <w:szCs w:val="24"/>
        </w:rPr>
        <w:t xml:space="preserve">В структуре предложения на рынке аренды типового жилья по-прежнему преобладают квартиры не более чем из трех комнат. </w:t>
      </w:r>
      <w:proofErr w:type="gramStart"/>
      <w:r w:rsidRPr="00823DF3">
        <w:rPr>
          <w:rFonts w:asciiTheme="minorHAnsi" w:hAnsiTheme="minorHAnsi"/>
          <w:sz w:val="24"/>
          <w:szCs w:val="24"/>
        </w:rPr>
        <w:t>Однокомнатные</w:t>
      </w:r>
      <w:proofErr w:type="gramEnd"/>
      <w:r w:rsidRPr="00823DF3">
        <w:rPr>
          <w:rFonts w:asciiTheme="minorHAnsi" w:hAnsiTheme="minorHAnsi"/>
          <w:sz w:val="24"/>
          <w:szCs w:val="24"/>
        </w:rPr>
        <w:t xml:space="preserve"> занимают 42,8%, двухкомнатные –  35,3% рынка. Трехкомнатные составляют 11,4%, комнаты – 9,2% от общего объема типового жилья, предлагаемого в аренду. </w:t>
      </w:r>
    </w:p>
    <w:p w:rsidR="00355052" w:rsidRDefault="0035505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355052" w:rsidRDefault="00355052" w:rsidP="00355052">
      <w:pPr>
        <w:pStyle w:val="Tabledate"/>
        <w:jc w:val="left"/>
        <w:rPr>
          <w:rFonts w:asciiTheme="minorHAnsi" w:hAnsiTheme="minorHAnsi"/>
          <w:i/>
          <w:iCs/>
        </w:rPr>
      </w:pPr>
      <w:r w:rsidRPr="00355052">
        <w:rPr>
          <w:rFonts w:asciiTheme="minorHAnsi" w:hAnsiTheme="minorHAnsi"/>
          <w:i/>
          <w:iCs/>
        </w:rPr>
        <w:t>Структура по типу квартир, % от общего объема</w:t>
      </w:r>
    </w:p>
    <w:p w:rsidR="00355052" w:rsidRPr="00355052" w:rsidRDefault="00355052" w:rsidP="00355052">
      <w:pPr>
        <w:pStyle w:val="Tabledate"/>
        <w:jc w:val="left"/>
        <w:rPr>
          <w:rFonts w:asciiTheme="minorHAnsi" w:hAnsiTheme="minorHAnsi"/>
        </w:rPr>
      </w:pPr>
    </w:p>
    <w:p w:rsidR="00355052" w:rsidRDefault="00823DF3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823DF3">
        <w:rPr>
          <w:rFonts w:asciiTheme="minorHAnsi" w:hAnsiTheme="minorHAnsi" w:cs="Times New Roman"/>
          <w:sz w:val="22"/>
          <w:szCs w:val="22"/>
        </w:rPr>
        <w:drawing>
          <wp:inline distT="0" distB="0" distL="0" distR="0">
            <wp:extent cx="2954337" cy="1871662"/>
            <wp:effectExtent l="19050" t="0" r="17463" b="0"/>
            <wp:docPr id="37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823DF3">
        <w:rPr>
          <w:rFonts w:asciiTheme="minorHAnsi" w:hAnsiTheme="minorHAnsi" w:cs="Times New Roman"/>
          <w:sz w:val="22"/>
          <w:szCs w:val="22"/>
        </w:rPr>
        <w:drawing>
          <wp:inline distT="0" distB="0" distL="0" distR="0">
            <wp:extent cx="3022600" cy="1871662"/>
            <wp:effectExtent l="19050" t="0" r="25400" b="0"/>
            <wp:docPr id="38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55052" w:rsidRDefault="00355052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2F2DCE" w:rsidRPr="00C754C5" w:rsidRDefault="002F2DCE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C754C5">
        <w:rPr>
          <w:rFonts w:asciiTheme="minorHAnsi" w:hAnsiTheme="minorHAnsi" w:cs="Times New Roman"/>
          <w:sz w:val="22"/>
          <w:szCs w:val="22"/>
        </w:rPr>
        <w:t>____________________________________________________________________________</w:t>
      </w:r>
    </w:p>
    <w:p w:rsidR="0067716F" w:rsidRPr="00C754C5" w:rsidRDefault="0067716F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  <w:sectPr w:rsidR="0067716F" w:rsidRPr="00C754C5" w:rsidSect="006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F2DCE" w:rsidRPr="00C754C5" w:rsidRDefault="002F2DCE" w:rsidP="002F2DCE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bookmarkEnd w:id="0"/>
    <w:p w:rsidR="007D0D26" w:rsidRPr="00C754C5" w:rsidRDefault="007D0D26" w:rsidP="007D0D26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C754C5">
        <w:rPr>
          <w:rFonts w:asciiTheme="minorHAnsi" w:hAnsiTheme="minorHAnsi" w:cs="Times New Roman"/>
          <w:sz w:val="22"/>
          <w:szCs w:val="22"/>
        </w:rPr>
        <w:t xml:space="preserve">Отчет выполнен в соответствии с методологией Главного аналитика РГР Г.М. </w:t>
      </w:r>
      <w:proofErr w:type="spellStart"/>
      <w:r w:rsidRPr="00C754C5">
        <w:rPr>
          <w:rFonts w:asciiTheme="minorHAnsi" w:hAnsiTheme="minorHAnsi" w:cs="Times New Roman"/>
          <w:sz w:val="22"/>
          <w:szCs w:val="22"/>
        </w:rPr>
        <w:t>Стерника</w:t>
      </w:r>
      <w:proofErr w:type="spellEnd"/>
    </w:p>
    <w:p w:rsidR="007D0D26" w:rsidRPr="00C754C5" w:rsidRDefault="007D0D26" w:rsidP="007D0D26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</w:p>
    <w:p w:rsidR="007D0D26" w:rsidRPr="00C754C5" w:rsidRDefault="007D0D26" w:rsidP="007D0D26">
      <w:pPr>
        <w:pStyle w:val="Tabledate"/>
        <w:jc w:val="left"/>
        <w:rPr>
          <w:rFonts w:asciiTheme="minorHAnsi" w:hAnsiTheme="minorHAnsi" w:cs="Times New Roman"/>
          <w:sz w:val="22"/>
          <w:szCs w:val="22"/>
        </w:rPr>
      </w:pPr>
      <w:r w:rsidRPr="00C754C5">
        <w:rPr>
          <w:rFonts w:asciiTheme="minorHAnsi" w:hAnsiTheme="minorHAnsi" w:cs="Times New Roman"/>
          <w:sz w:val="22"/>
          <w:szCs w:val="22"/>
        </w:rPr>
        <w:t xml:space="preserve">Подготовлено:  </w:t>
      </w:r>
    </w:p>
    <w:p w:rsidR="007D0D26" w:rsidRPr="00C754C5" w:rsidRDefault="007D0D26" w:rsidP="007D0D26">
      <w:pPr>
        <w:spacing w:after="0"/>
        <w:rPr>
          <w:rFonts w:asciiTheme="minorHAnsi" w:hAnsiTheme="minorHAnsi"/>
        </w:rPr>
      </w:pPr>
      <w:proofErr w:type="spellStart"/>
      <w:r w:rsidRPr="00C754C5">
        <w:rPr>
          <w:rFonts w:asciiTheme="minorHAnsi" w:hAnsiTheme="minorHAnsi"/>
        </w:rPr>
        <w:t>Бент</w:t>
      </w:r>
      <w:proofErr w:type="spellEnd"/>
      <w:r w:rsidRPr="00C754C5">
        <w:rPr>
          <w:rFonts w:asciiTheme="minorHAnsi" w:hAnsiTheme="minorHAnsi"/>
        </w:rPr>
        <w:t xml:space="preserve"> М.А., САРН, ООО «ГК «Бюллетень Недвижимости»</w:t>
      </w:r>
    </w:p>
    <w:p w:rsidR="007D0D26" w:rsidRPr="00C754C5" w:rsidRDefault="007D0D26" w:rsidP="007D0D26">
      <w:pPr>
        <w:spacing w:after="0"/>
        <w:rPr>
          <w:rFonts w:asciiTheme="minorHAnsi" w:hAnsiTheme="minorHAnsi"/>
          <w:lang w:val="en-US"/>
        </w:rPr>
      </w:pPr>
      <w:r w:rsidRPr="00C754C5">
        <w:rPr>
          <w:rFonts w:asciiTheme="minorHAnsi" w:hAnsiTheme="minorHAnsi"/>
        </w:rPr>
        <w:t>тел</w:t>
      </w:r>
      <w:r w:rsidRPr="00C754C5">
        <w:rPr>
          <w:rFonts w:asciiTheme="minorHAnsi" w:hAnsiTheme="minorHAnsi"/>
          <w:lang w:val="en-US"/>
        </w:rPr>
        <w:t xml:space="preserve">. (812) 329-36-78, e-mail: </w:t>
      </w:r>
      <w:hyperlink r:id="rId26" w:history="1">
        <w:r w:rsidRPr="00C754C5">
          <w:rPr>
            <w:rStyle w:val="a6"/>
            <w:rFonts w:asciiTheme="minorHAnsi" w:hAnsiTheme="minorHAnsi"/>
            <w:lang w:val="en-US"/>
          </w:rPr>
          <w:t>analitika@bn.ru</w:t>
        </w:r>
      </w:hyperlink>
      <w:r w:rsidRPr="00C754C5">
        <w:rPr>
          <w:rFonts w:asciiTheme="minorHAnsi" w:hAnsiTheme="minorHAnsi"/>
          <w:lang w:val="en-US"/>
        </w:rPr>
        <w:t xml:space="preserve">, </w:t>
      </w:r>
    </w:p>
    <w:p w:rsidR="007D0D26" w:rsidRPr="00C754C5" w:rsidRDefault="007D0D26" w:rsidP="007D0D26">
      <w:pPr>
        <w:spacing w:after="0"/>
        <w:rPr>
          <w:rFonts w:asciiTheme="minorHAnsi" w:hAnsiTheme="minorHAnsi"/>
        </w:rPr>
      </w:pPr>
      <w:proofErr w:type="gramStart"/>
      <w:r w:rsidRPr="00C754C5">
        <w:rPr>
          <w:rFonts w:asciiTheme="minorHAnsi" w:hAnsiTheme="minorHAnsi"/>
          <w:lang w:val="en-US"/>
        </w:rPr>
        <w:t>web-</w:t>
      </w:r>
      <w:r w:rsidRPr="00C754C5">
        <w:rPr>
          <w:rFonts w:asciiTheme="minorHAnsi" w:hAnsiTheme="minorHAnsi"/>
        </w:rPr>
        <w:t>сайт</w:t>
      </w:r>
      <w:proofErr w:type="gramEnd"/>
      <w:r w:rsidRPr="00C754C5">
        <w:rPr>
          <w:rFonts w:asciiTheme="minorHAnsi" w:hAnsiTheme="minorHAnsi"/>
          <w:lang w:val="en-US"/>
        </w:rPr>
        <w:t>: www.bn.ru</w:t>
      </w:r>
    </w:p>
    <w:p w:rsidR="00954379" w:rsidRPr="00C754C5" w:rsidRDefault="00954379" w:rsidP="00AC0B4E">
      <w:pPr>
        <w:rPr>
          <w:rFonts w:asciiTheme="minorHAnsi" w:hAnsiTheme="minorHAnsi"/>
          <w:noProof/>
          <w:lang w:eastAsia="ru-RU"/>
        </w:rPr>
      </w:pPr>
    </w:p>
    <w:sectPr w:rsidR="00954379" w:rsidRPr="00C754C5" w:rsidSect="003318E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Medium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604"/>
    <w:rsid w:val="0000760A"/>
    <w:rsid w:val="000D3C7E"/>
    <w:rsid w:val="001022DF"/>
    <w:rsid w:val="00117444"/>
    <w:rsid w:val="00166FE0"/>
    <w:rsid w:val="001D596E"/>
    <w:rsid w:val="001D65B6"/>
    <w:rsid w:val="0023059C"/>
    <w:rsid w:val="00243E1E"/>
    <w:rsid w:val="00290895"/>
    <w:rsid w:val="002B7B63"/>
    <w:rsid w:val="002F2DCE"/>
    <w:rsid w:val="0030065C"/>
    <w:rsid w:val="003167B8"/>
    <w:rsid w:val="003229A1"/>
    <w:rsid w:val="00325A8C"/>
    <w:rsid w:val="003318EE"/>
    <w:rsid w:val="00333C38"/>
    <w:rsid w:val="00333F73"/>
    <w:rsid w:val="00355052"/>
    <w:rsid w:val="003E7588"/>
    <w:rsid w:val="00405A49"/>
    <w:rsid w:val="004477D4"/>
    <w:rsid w:val="00456BA3"/>
    <w:rsid w:val="004769C7"/>
    <w:rsid w:val="00487856"/>
    <w:rsid w:val="0049212B"/>
    <w:rsid w:val="004A4876"/>
    <w:rsid w:val="004F06CE"/>
    <w:rsid w:val="004F3B96"/>
    <w:rsid w:val="00514943"/>
    <w:rsid w:val="005719A7"/>
    <w:rsid w:val="005A4508"/>
    <w:rsid w:val="005C5A00"/>
    <w:rsid w:val="005C6DFA"/>
    <w:rsid w:val="0067716F"/>
    <w:rsid w:val="006A726A"/>
    <w:rsid w:val="00777FF5"/>
    <w:rsid w:val="00797C17"/>
    <w:rsid w:val="007B47A9"/>
    <w:rsid w:val="007C4ABB"/>
    <w:rsid w:val="007D0D26"/>
    <w:rsid w:val="007E2B3A"/>
    <w:rsid w:val="00821608"/>
    <w:rsid w:val="00823DF3"/>
    <w:rsid w:val="008262C6"/>
    <w:rsid w:val="008762A3"/>
    <w:rsid w:val="00894196"/>
    <w:rsid w:val="008B67C3"/>
    <w:rsid w:val="008F5AC7"/>
    <w:rsid w:val="00913EEF"/>
    <w:rsid w:val="00935DF9"/>
    <w:rsid w:val="00954379"/>
    <w:rsid w:val="00966260"/>
    <w:rsid w:val="0099256E"/>
    <w:rsid w:val="009963EC"/>
    <w:rsid w:val="009A6AEF"/>
    <w:rsid w:val="009B413E"/>
    <w:rsid w:val="009C721F"/>
    <w:rsid w:val="009D1458"/>
    <w:rsid w:val="009D56C6"/>
    <w:rsid w:val="00A02DF2"/>
    <w:rsid w:val="00A2697E"/>
    <w:rsid w:val="00A8195C"/>
    <w:rsid w:val="00A84E9D"/>
    <w:rsid w:val="00AB4E74"/>
    <w:rsid w:val="00AC0B4E"/>
    <w:rsid w:val="00AE1425"/>
    <w:rsid w:val="00B16544"/>
    <w:rsid w:val="00B27C6C"/>
    <w:rsid w:val="00B56CB9"/>
    <w:rsid w:val="00B63926"/>
    <w:rsid w:val="00BA7C8E"/>
    <w:rsid w:val="00C028E8"/>
    <w:rsid w:val="00C105DC"/>
    <w:rsid w:val="00C44A95"/>
    <w:rsid w:val="00C754C5"/>
    <w:rsid w:val="00C77A96"/>
    <w:rsid w:val="00C77F04"/>
    <w:rsid w:val="00C97CB1"/>
    <w:rsid w:val="00CD5723"/>
    <w:rsid w:val="00CF10B1"/>
    <w:rsid w:val="00D32B50"/>
    <w:rsid w:val="00D500CD"/>
    <w:rsid w:val="00D50628"/>
    <w:rsid w:val="00D91423"/>
    <w:rsid w:val="00DA1D47"/>
    <w:rsid w:val="00DB1487"/>
    <w:rsid w:val="00DC585B"/>
    <w:rsid w:val="00DE4078"/>
    <w:rsid w:val="00E06B77"/>
    <w:rsid w:val="00E07149"/>
    <w:rsid w:val="00E11116"/>
    <w:rsid w:val="00E23604"/>
    <w:rsid w:val="00E26FA4"/>
    <w:rsid w:val="00E42DAA"/>
    <w:rsid w:val="00E43599"/>
    <w:rsid w:val="00E45C43"/>
    <w:rsid w:val="00E61732"/>
    <w:rsid w:val="00E916A8"/>
    <w:rsid w:val="00EB7A63"/>
    <w:rsid w:val="00ED129E"/>
    <w:rsid w:val="00F2304E"/>
    <w:rsid w:val="00F339DB"/>
    <w:rsid w:val="00FB7563"/>
    <w:rsid w:val="00FC07F6"/>
    <w:rsid w:val="00FC4B59"/>
    <w:rsid w:val="00FC6318"/>
    <w:rsid w:val="00FD3CDE"/>
    <w:rsid w:val="00FD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6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6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2F2DCE"/>
    <w:rPr>
      <w:color w:val="0000FF"/>
      <w:u w:val="single"/>
    </w:rPr>
  </w:style>
  <w:style w:type="paragraph" w:customStyle="1" w:styleId="Tabledate">
    <w:name w:val="Table date"/>
    <w:basedOn w:val="a"/>
    <w:rsid w:val="002F2DCE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OfficinaSansMediumC" w:eastAsia="Times New Roman" w:hAnsi="OfficinaSansMediumC" w:cs="OfficinaSansMediumC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D5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hyperlink" Target="mailto:analitika@bn.ru" TargetMode="Externa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theme" Target="theme/theme1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0.xml"/><Relationship Id="rId2" Type="http://schemas.openxmlformats.org/officeDocument/2006/relationships/package" Target="../embeddings/_____Microsoft_Office_Excel10.xlsx"/><Relationship Id="rId1" Type="http://schemas.openxmlformats.org/officeDocument/2006/relationships/image" Target="../media/image1.jpeg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1.xml"/><Relationship Id="rId2" Type="http://schemas.openxmlformats.org/officeDocument/2006/relationships/package" Target="../embeddings/_____Microsoft_Office_Excel11.xlsx"/><Relationship Id="rId1" Type="http://schemas.openxmlformats.org/officeDocument/2006/relationships/image" Target="../media/image1.jpeg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2.xml"/><Relationship Id="rId2" Type="http://schemas.openxmlformats.org/officeDocument/2006/relationships/package" Target="../embeddings/_____Microsoft_Office_Excel12.xlsx"/><Relationship Id="rId1" Type="http://schemas.openxmlformats.org/officeDocument/2006/relationships/image" Target="../media/image1.jpeg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3.xml"/><Relationship Id="rId2" Type="http://schemas.openxmlformats.org/officeDocument/2006/relationships/package" Target="../embeddings/_____Microsoft_Office_Excel13.xlsx"/><Relationship Id="rId1" Type="http://schemas.openxmlformats.org/officeDocument/2006/relationships/image" Target="../media/image1.jpeg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4.xml"/><Relationship Id="rId2" Type="http://schemas.openxmlformats.org/officeDocument/2006/relationships/package" Target="../embeddings/_____Microsoft_Office_Excel14.xlsx"/><Relationship Id="rId1" Type="http://schemas.openxmlformats.org/officeDocument/2006/relationships/image" Target="../media/image1.jpeg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5.xml"/><Relationship Id="rId2" Type="http://schemas.openxmlformats.org/officeDocument/2006/relationships/package" Target="../embeddings/_____Microsoft_Office_Excel15.xlsx"/><Relationship Id="rId1" Type="http://schemas.openxmlformats.org/officeDocument/2006/relationships/image" Target="../media/image1.jpeg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6.xml"/><Relationship Id="rId2" Type="http://schemas.openxmlformats.org/officeDocument/2006/relationships/package" Target="../embeddings/_____Microsoft_Office_Excel16.xlsx"/><Relationship Id="rId1" Type="http://schemas.openxmlformats.org/officeDocument/2006/relationships/image" Target="../media/image1.jpeg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7.xml"/><Relationship Id="rId2" Type="http://schemas.openxmlformats.org/officeDocument/2006/relationships/package" Target="../embeddings/_____Microsoft_Office_Excel17.xlsx"/><Relationship Id="rId1" Type="http://schemas.openxmlformats.org/officeDocument/2006/relationships/image" Target="../media/image1.jpeg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8.xml"/><Relationship Id="rId2" Type="http://schemas.openxmlformats.org/officeDocument/2006/relationships/package" Target="../embeddings/_____Microsoft_Office_Excel18.xlsx"/><Relationship Id="rId1" Type="http://schemas.openxmlformats.org/officeDocument/2006/relationships/image" Target="../media/image1.jpeg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9.xml"/><Relationship Id="rId2" Type="http://schemas.openxmlformats.org/officeDocument/2006/relationships/package" Target="../embeddings/_____Microsoft_Office_Excel19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1.jpeg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0.xml"/><Relationship Id="rId2" Type="http://schemas.openxmlformats.org/officeDocument/2006/relationships/package" Target="../embeddings/_____Microsoft_Office_Excel20.xlsx"/><Relationship Id="rId1" Type="http://schemas.openxmlformats.org/officeDocument/2006/relationships/image" Target="../media/image1.jpeg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1.xml"/><Relationship Id="rId2" Type="http://schemas.openxmlformats.org/officeDocument/2006/relationships/package" Target="../embeddings/_____Microsoft_Office_Excel21.xlsx"/><Relationship Id="rId1" Type="http://schemas.openxmlformats.org/officeDocument/2006/relationships/image" Target="../media/image1.jpeg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2.xml"/><Relationship Id="rId2" Type="http://schemas.openxmlformats.org/officeDocument/2006/relationships/package" Target="../embeddings/_____Microsoft_Office_Excel2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Office_Excel4.xlsx"/><Relationship Id="rId1" Type="http://schemas.openxmlformats.org/officeDocument/2006/relationships/image" Target="../media/image1.jpeg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Office_Excel5.xlsx"/><Relationship Id="rId1" Type="http://schemas.openxmlformats.org/officeDocument/2006/relationships/image" Target="../media/image1.jpeg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package" Target="../embeddings/_____Microsoft_Office_Excel6.xlsx"/><Relationship Id="rId1" Type="http://schemas.openxmlformats.org/officeDocument/2006/relationships/image" Target="../media/image1.jpeg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package" Target="../embeddings/_____Microsoft_Office_Excel7.xlsx"/><Relationship Id="rId1" Type="http://schemas.openxmlformats.org/officeDocument/2006/relationships/image" Target="../media/image1.jpeg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package" Target="../embeddings/_____Microsoft_Office_Excel8.xlsx"/><Relationship Id="rId1" Type="http://schemas.openxmlformats.org/officeDocument/2006/relationships/image" Target="../media/image1.jpeg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9.xml"/><Relationship Id="rId2" Type="http://schemas.openxmlformats.org/officeDocument/2006/relationships/package" Target="../embeddings/_____Microsoft_Office_Excel9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autoTitleDeleted val="1"/>
    <c:plotArea>
      <c:layout>
        <c:manualLayout>
          <c:layoutTarget val="inner"/>
          <c:xMode val="edge"/>
          <c:yMode val="edge"/>
          <c:x val="0.18738551013711671"/>
          <c:y val="4.0564937229198336E-2"/>
          <c:w val="0.76749676392545529"/>
          <c:h val="0.825135540495500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[$-419]mmmm\ yyyy;@</c:formatCode>
                <c:ptCount val="7"/>
                <c:pt idx="0">
                  <c:v>41518</c:v>
                </c:pt>
                <c:pt idx="1">
                  <c:v>41548</c:v>
                </c:pt>
                <c:pt idx="2">
                  <c:v>41579</c:v>
                </c:pt>
                <c:pt idx="3">
                  <c:v>41609</c:v>
                </c:pt>
                <c:pt idx="4">
                  <c:v>41640</c:v>
                </c:pt>
                <c:pt idx="5">
                  <c:v>41671</c:v>
                </c:pt>
                <c:pt idx="6">
                  <c:v>41699</c:v>
                </c:pt>
              </c:numCache>
            </c:numRef>
          </c:cat>
          <c:val>
            <c:numRef>
              <c:f>Лист1!$B$2:$B$8</c:f>
              <c:numCache>
                <c:formatCode>#,##0</c:formatCode>
                <c:ptCount val="7"/>
                <c:pt idx="0">
                  <c:v>73047.527305616401</c:v>
                </c:pt>
                <c:pt idx="1">
                  <c:v>73480.316615540578</c:v>
                </c:pt>
                <c:pt idx="2">
                  <c:v>73784.145839038145</c:v>
                </c:pt>
                <c:pt idx="3">
                  <c:v>73866.269427227802</c:v>
                </c:pt>
                <c:pt idx="4">
                  <c:v>73942.030404048783</c:v>
                </c:pt>
                <c:pt idx="5">
                  <c:v>74085.02925674252</c:v>
                </c:pt>
                <c:pt idx="6">
                  <c:v>74487.851170687049</c:v>
                </c:pt>
              </c:numCache>
            </c:numRef>
          </c:val>
        </c:ser>
        <c:marker val="1"/>
        <c:axId val="64211584"/>
        <c:axId val="64778240"/>
      </c:lineChart>
      <c:dateAx>
        <c:axId val="64211584"/>
        <c:scaling>
          <c:orientation val="minMax"/>
        </c:scaling>
        <c:axPos val="b"/>
        <c:minorGridlines/>
        <c:numFmt formatCode="mmm\ yy" sourceLinked="0"/>
        <c:tickLblPos val="nextTo"/>
        <c:crossAx val="64778240"/>
        <c:crosses val="autoZero"/>
        <c:auto val="1"/>
        <c:lblOffset val="100"/>
        <c:majorUnit val="2"/>
        <c:majorTimeUnit val="months"/>
      </c:dateAx>
      <c:valAx>
        <c:axId val="64778240"/>
        <c:scaling>
          <c:orientation val="minMax"/>
        </c:scaling>
        <c:axPos val="l"/>
        <c:majorGridlines/>
        <c:numFmt formatCode="#,##0" sourceLinked="0"/>
        <c:tickLblPos val="nextTo"/>
        <c:crossAx val="64211584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998"/>
      </a:pPr>
      <a:endParaRPr lang="ru-RU"/>
    </a:p>
  </c:txPr>
  <c:externalData r:id="rId2"/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0.18515148083049957"/>
          <c:y val="3.5452410049677092E-3"/>
          <c:w val="0.75214407756828883"/>
          <c:h val="0.836574375333957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&lt;70</c:v>
                </c:pt>
                <c:pt idx="1">
                  <c:v>70-95</c:v>
                </c:pt>
                <c:pt idx="2">
                  <c:v>95-120</c:v>
                </c:pt>
                <c:pt idx="3">
                  <c:v>120-145</c:v>
                </c:pt>
                <c:pt idx="4">
                  <c:v>145-170</c:v>
                </c:pt>
                <c:pt idx="5">
                  <c:v>&gt;170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0.15545505935556828</c:v>
                </c:pt>
                <c:pt idx="1">
                  <c:v>0.45053702656868255</c:v>
                </c:pt>
                <c:pt idx="2">
                  <c:v>0.17241379310344851</c:v>
                </c:pt>
                <c:pt idx="3">
                  <c:v>8.1401921989824752E-2</c:v>
                </c:pt>
                <c:pt idx="4">
                  <c:v>7.066139061616733E-2</c:v>
                </c:pt>
                <c:pt idx="5">
                  <c:v>6.9530808366308663E-2</c:v>
                </c:pt>
              </c:numCache>
            </c:numRef>
          </c:val>
        </c:ser>
        <c:axId val="115312512"/>
        <c:axId val="118452992"/>
      </c:barChart>
      <c:catAx>
        <c:axId val="115312512"/>
        <c:scaling>
          <c:orientation val="minMax"/>
        </c:scaling>
        <c:axPos val="l"/>
        <c:minorGridlines/>
        <c:numFmt formatCode="General" sourceLinked="1"/>
        <c:tickLblPos val="nextTo"/>
        <c:crossAx val="118452992"/>
        <c:crosses val="autoZero"/>
        <c:auto val="1"/>
        <c:lblAlgn val="ctr"/>
        <c:lblOffset val="100"/>
      </c:catAx>
      <c:valAx>
        <c:axId val="118452992"/>
        <c:scaling>
          <c:orientation val="minMax"/>
          <c:max val="0.60000000000000064"/>
          <c:min val="0"/>
        </c:scaling>
        <c:axPos val="b"/>
        <c:majorGridlines/>
        <c:numFmt formatCode="0%" sourceLinked="0"/>
        <c:tickLblPos val="nextTo"/>
        <c:crossAx val="115312512"/>
        <c:crosses val="autoZero"/>
        <c:crossBetween val="between"/>
        <c:majorUnit val="0.1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1000"/>
      </a:pPr>
      <a:endParaRPr lang="ru-RU"/>
    </a:p>
  </c:txPr>
  <c:externalData r:id="rId2"/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autoTitleDeleted val="1"/>
    <c:plotArea>
      <c:layout>
        <c:manualLayout>
          <c:layoutTarget val="inner"/>
          <c:xMode val="edge"/>
          <c:yMode val="edge"/>
          <c:x val="0.18738551013711671"/>
          <c:y val="4.0564937229197934E-2"/>
          <c:w val="0.76749676392545529"/>
          <c:h val="0.825135540495500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[$-419]mmmm\ yyyy;@</c:formatCode>
                <c:ptCount val="7"/>
                <c:pt idx="0">
                  <c:v>41518</c:v>
                </c:pt>
                <c:pt idx="1">
                  <c:v>41548</c:v>
                </c:pt>
                <c:pt idx="2">
                  <c:v>41579</c:v>
                </c:pt>
                <c:pt idx="3">
                  <c:v>41609</c:v>
                </c:pt>
                <c:pt idx="4">
                  <c:v>41640</c:v>
                </c:pt>
                <c:pt idx="5">
                  <c:v>41671</c:v>
                </c:pt>
                <c:pt idx="6">
                  <c:v>41699</c:v>
                </c:pt>
              </c:numCache>
            </c:numRef>
          </c:cat>
          <c:val>
            <c:numRef>
              <c:f>Лист1!$B$2:$B$8</c:f>
              <c:numCache>
                <c:formatCode>#,##0</c:formatCode>
                <c:ptCount val="7"/>
                <c:pt idx="0">
                  <c:v>61963.450713489074</c:v>
                </c:pt>
                <c:pt idx="1">
                  <c:v>61968.823721304871</c:v>
                </c:pt>
                <c:pt idx="2">
                  <c:v>62411.885102007764</c:v>
                </c:pt>
                <c:pt idx="3">
                  <c:v>62472.262176280325</c:v>
                </c:pt>
                <c:pt idx="4">
                  <c:v>62409.009956076996</c:v>
                </c:pt>
                <c:pt idx="5">
                  <c:v>62859.334973329343</c:v>
                </c:pt>
                <c:pt idx="6">
                  <c:v>62883.83049816799</c:v>
                </c:pt>
              </c:numCache>
            </c:numRef>
          </c:val>
        </c:ser>
        <c:marker val="1"/>
        <c:axId val="119482240"/>
        <c:axId val="119515392"/>
      </c:lineChart>
      <c:dateAx>
        <c:axId val="119482240"/>
        <c:scaling>
          <c:orientation val="minMax"/>
        </c:scaling>
        <c:axPos val="b"/>
        <c:minorGridlines/>
        <c:numFmt formatCode="mmm\ yy" sourceLinked="0"/>
        <c:tickLblPos val="nextTo"/>
        <c:crossAx val="119515392"/>
        <c:crosses val="autoZero"/>
        <c:auto val="1"/>
        <c:lblOffset val="100"/>
        <c:majorUnit val="2"/>
        <c:majorTimeUnit val="months"/>
      </c:dateAx>
      <c:valAx>
        <c:axId val="119515392"/>
        <c:scaling>
          <c:orientation val="minMax"/>
          <c:max val="64000"/>
          <c:min val="61000"/>
        </c:scaling>
        <c:axPos val="l"/>
        <c:majorGridlines/>
        <c:numFmt formatCode="#,##0" sourceLinked="0"/>
        <c:tickLblPos val="nextTo"/>
        <c:crossAx val="119482240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998"/>
      </a:pPr>
      <a:endParaRPr lang="ru-RU"/>
    </a:p>
  </c:txPr>
  <c:externalData r:id="rId2"/>
  <c:userShapes r:id="rId3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0.13434433211125196"/>
          <c:y val="4.32379735584935E-2"/>
          <c:w val="0.82324679973830051"/>
          <c:h val="0.8232170978627549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Лист1!$A$2:$A$8</c:f>
              <c:numCache>
                <c:formatCode>[$-419]mmmm\ yyyy;@</c:formatCode>
                <c:ptCount val="7"/>
                <c:pt idx="0">
                  <c:v>41518</c:v>
                </c:pt>
                <c:pt idx="1">
                  <c:v>41548</c:v>
                </c:pt>
                <c:pt idx="2">
                  <c:v>41579</c:v>
                </c:pt>
                <c:pt idx="3">
                  <c:v>41609</c:v>
                </c:pt>
                <c:pt idx="4">
                  <c:v>41640</c:v>
                </c:pt>
                <c:pt idx="5">
                  <c:v>41671</c:v>
                </c:pt>
                <c:pt idx="6">
                  <c:v>41699</c:v>
                </c:pt>
              </c:numCache>
            </c:numRef>
          </c:cat>
          <c:val>
            <c:numRef>
              <c:f>Лист1!$B$2:$B$8</c:f>
              <c:numCache>
                <c:formatCode>0.00%</c:formatCode>
                <c:ptCount val="7"/>
                <c:pt idx="0">
                  <c:v>8.4646409050013385E-3</c:v>
                </c:pt>
                <c:pt idx="1">
                  <c:v>8.6712533823973814E-5</c:v>
                </c:pt>
                <c:pt idx="2" formatCode="0.0%">
                  <c:v>7.1497465031045253E-3</c:v>
                </c:pt>
                <c:pt idx="3">
                  <c:v>9.6739706185600268E-4</c:v>
                </c:pt>
                <c:pt idx="4">
                  <c:v>-1.0124848692836272E-3</c:v>
                </c:pt>
                <c:pt idx="5">
                  <c:v>7.2157051933574657E-3</c:v>
                </c:pt>
                <c:pt idx="6">
                  <c:v>3.8968794132299145E-4</c:v>
                </c:pt>
              </c:numCache>
            </c:numRef>
          </c:val>
        </c:ser>
        <c:axId val="123949440"/>
        <c:axId val="64905216"/>
      </c:barChart>
      <c:dateAx>
        <c:axId val="123949440"/>
        <c:scaling>
          <c:orientation val="minMax"/>
        </c:scaling>
        <c:axPos val="b"/>
        <c:minorGridlines/>
        <c:numFmt formatCode="mmm\ yy" sourceLinked="0"/>
        <c:tickLblPos val="nextTo"/>
        <c:crossAx val="64905216"/>
        <c:crosses val="autoZero"/>
        <c:auto val="1"/>
        <c:lblOffset val="100"/>
        <c:majorUnit val="2"/>
        <c:majorTimeUnit val="months"/>
      </c:dateAx>
      <c:valAx>
        <c:axId val="64905216"/>
        <c:scaling>
          <c:orientation val="minMax"/>
          <c:max val="2.0000000000000011E-2"/>
        </c:scaling>
        <c:axPos val="l"/>
        <c:majorGridlines/>
        <c:numFmt formatCode="0.0%" sourceLinked="0"/>
        <c:tickLblPos val="nextTo"/>
        <c:crossAx val="123949440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998"/>
      </a:pPr>
      <a:endParaRPr lang="ru-RU"/>
    </a:p>
  </c:txPr>
  <c:externalData r:id="rId2"/>
  <c:userShapes r:id="rId3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plotArea>
      <c:layout>
        <c:manualLayout>
          <c:layoutTarget val="inner"/>
          <c:xMode val="edge"/>
          <c:yMode val="edge"/>
          <c:x val="0.15990721600681926"/>
          <c:y val="0"/>
          <c:w val="0.77601470657852989"/>
          <c:h val="0.8824385195334224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Февраль 2014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&lt;50</c:v>
                </c:pt>
                <c:pt idx="1">
                  <c:v>50-55</c:v>
                </c:pt>
                <c:pt idx="2">
                  <c:v>55-60</c:v>
                </c:pt>
                <c:pt idx="3">
                  <c:v>60-65</c:v>
                </c:pt>
                <c:pt idx="4">
                  <c:v>65-70</c:v>
                </c:pt>
                <c:pt idx="5">
                  <c:v>70-75</c:v>
                </c:pt>
                <c:pt idx="6">
                  <c:v>75-80</c:v>
                </c:pt>
                <c:pt idx="7">
                  <c:v>&gt;80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6.3792085056113543E-2</c:v>
                </c:pt>
                <c:pt idx="1">
                  <c:v>0.14353219137625536</c:v>
                </c:pt>
                <c:pt idx="2">
                  <c:v>0.22799763733018324</c:v>
                </c:pt>
                <c:pt idx="3">
                  <c:v>0.19492025989367986</c:v>
                </c:pt>
                <c:pt idx="4">
                  <c:v>0.1405788541051389</c:v>
                </c:pt>
                <c:pt idx="5">
                  <c:v>9.5688127584170127E-2</c:v>
                </c:pt>
                <c:pt idx="6">
                  <c:v>7.9740106320141849E-2</c:v>
                </c:pt>
                <c:pt idx="7">
                  <c:v>5.3750738334317823E-2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Март 2014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cat>
            <c:strRef>
              <c:f>Лист1!$A$2:$A$9</c:f>
              <c:strCache>
                <c:ptCount val="8"/>
                <c:pt idx="0">
                  <c:v>&lt;50</c:v>
                </c:pt>
                <c:pt idx="1">
                  <c:v>50-55</c:v>
                </c:pt>
                <c:pt idx="2">
                  <c:v>55-60</c:v>
                </c:pt>
                <c:pt idx="3">
                  <c:v>60-65</c:v>
                </c:pt>
                <c:pt idx="4">
                  <c:v>65-70</c:v>
                </c:pt>
                <c:pt idx="5">
                  <c:v>70-75</c:v>
                </c:pt>
                <c:pt idx="6">
                  <c:v>75-80</c:v>
                </c:pt>
                <c:pt idx="7">
                  <c:v>&gt;80</c:v>
                </c:pt>
              </c:strCache>
            </c:strRef>
          </c:cat>
          <c:val>
            <c:numRef>
              <c:f>Лист1!$C$2:$C$9</c:f>
              <c:numCache>
                <c:formatCode>0.00%</c:formatCode>
                <c:ptCount val="8"/>
                <c:pt idx="0">
                  <c:v>6.5130505480949841E-2</c:v>
                </c:pt>
                <c:pt idx="1">
                  <c:v>0.11391039838515238</c:v>
                </c:pt>
                <c:pt idx="2">
                  <c:v>0.21980206902352184</c:v>
                </c:pt>
                <c:pt idx="3">
                  <c:v>0.19726064649976174</c:v>
                </c:pt>
                <c:pt idx="4">
                  <c:v>0.16768482435728502</c:v>
                </c:pt>
                <c:pt idx="5">
                  <c:v>0.10889876363228573</c:v>
                </c:pt>
                <c:pt idx="6">
                  <c:v>6.9647032437130357E-2</c:v>
                </c:pt>
                <c:pt idx="7">
                  <c:v>5.7665760183913214E-2</c:v>
                </c:pt>
              </c:numCache>
            </c:numRef>
          </c:val>
        </c:ser>
        <c:axId val="91783168"/>
        <c:axId val="91784704"/>
      </c:barChart>
      <c:catAx>
        <c:axId val="91783168"/>
        <c:scaling>
          <c:orientation val="minMax"/>
        </c:scaling>
        <c:axPos val="l"/>
        <c:minorGridlines/>
        <c:numFmt formatCode="General" sourceLinked="1"/>
        <c:tickLblPos val="nextTo"/>
        <c:crossAx val="91784704"/>
        <c:crosses val="autoZero"/>
        <c:auto val="1"/>
        <c:lblAlgn val="ctr"/>
        <c:lblOffset val="100"/>
      </c:catAx>
      <c:valAx>
        <c:axId val="91784704"/>
        <c:scaling>
          <c:orientation val="minMax"/>
        </c:scaling>
        <c:axPos val="b"/>
        <c:majorGridlines/>
        <c:numFmt formatCode="0%" sourceLinked="0"/>
        <c:tickLblPos val="nextTo"/>
        <c:crossAx val="91783168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  <c:layout>
        <c:manualLayout>
          <c:xMode val="edge"/>
          <c:yMode val="edge"/>
          <c:x val="0.65697193256248576"/>
          <c:y val="0.62153883048882941"/>
          <c:w val="0.27940507436570433"/>
          <c:h val="0.2288149006754864"/>
        </c:manualLayout>
      </c:layout>
      <c:txPr>
        <a:bodyPr/>
        <a:lstStyle/>
        <a:p>
          <a:pPr>
            <a:defRPr sz="899" b="1"/>
          </a:pPr>
          <a:endParaRPr lang="ru-RU"/>
        </a:p>
      </c:txPr>
    </c:legend>
    <c:plotVisOnly val="1"/>
    <c:dispBlanksAs val="gap"/>
  </c:chart>
  <c:txPr>
    <a:bodyPr/>
    <a:lstStyle/>
    <a:p>
      <a:pPr>
        <a:defRPr sz="998"/>
      </a:pPr>
      <a:endParaRPr lang="ru-RU"/>
    </a:p>
  </c:txPr>
  <c:externalData r:id="rId2"/>
  <c:userShapes r:id="rId3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6925400862929608E-2"/>
          <c:y val="0.21409660879430117"/>
          <c:w val="0.81167499476802363"/>
          <c:h val="0.755796364506520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24055039977775683"/>
                  <c:y val="3.0194618484837892E-2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0.20663605031730492"/>
                  <c:y val="-0.22600362400523702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-8.5390098012831303E-4"/>
                  <c:y val="-3.6167716936980352E-3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4.9089756834419983E-2"/>
                  <c:y val="-1.3980028186707448E-2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9.6866827550668763E-2"/>
                  <c:y val="1.7485207249834801E-2"/>
                </c:manualLayout>
              </c:layout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Лист1!$A$2:$A$5</c:f>
              <c:strCache>
                <c:ptCount val="4"/>
                <c:pt idx="0">
                  <c:v>1ккв</c:v>
                </c:pt>
                <c:pt idx="1">
                  <c:v>2ккв</c:v>
                </c:pt>
                <c:pt idx="2">
                  <c:v>3ккв</c:v>
                </c:pt>
                <c:pt idx="3">
                  <c:v>&gt;3ккв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0.46717918391484409</c:v>
                </c:pt>
                <c:pt idx="1">
                  <c:v>0.32288586635127225</c:v>
                </c:pt>
                <c:pt idx="2">
                  <c:v>0.20816085156712039</c:v>
                </c:pt>
                <c:pt idx="3">
                  <c:v>1.7740981667652312E-3</c:v>
                </c:pt>
              </c:numCache>
            </c:numRef>
          </c:val>
        </c:ser>
      </c:pie3DChart>
      <c:spPr>
        <a:noFill/>
        <a:ln w="25401">
          <a:noFill/>
        </a:ln>
      </c:spPr>
    </c:plotArea>
    <c:plotVisOnly val="1"/>
    <c:dispBlanksAs val="zero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 sz="999"/>
      </a:pPr>
      <a:endParaRPr lang="ru-RU"/>
    </a:p>
  </c:txPr>
  <c:externalData r:id="rId2"/>
  <c:userShapes r:id="rId3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2255163253435672E-2"/>
          <c:y val="0.22115714993568167"/>
          <c:w val="0.81167499476802363"/>
          <c:h val="0.755796364506520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2327795188776707"/>
                  <c:y val="1.1985378597632988E-2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0.21451701117294242"/>
                  <c:y val="-0.22966500254982436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-6.5978522254729317E-4"/>
                  <c:y val="-3.3366527260211033E-2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9.9798765507123341E-2"/>
                  <c:y val="1.2591790651609642E-2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6.0634344721931493E-2"/>
                  <c:y val="1.7485228660027503E-2"/>
                </c:manualLayout>
              </c:layout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Лист1!$A$2:$A$5</c:f>
              <c:strCache>
                <c:ptCount val="4"/>
                <c:pt idx="0">
                  <c:v>1ккв</c:v>
                </c:pt>
                <c:pt idx="1">
                  <c:v>2ккв</c:v>
                </c:pt>
                <c:pt idx="2">
                  <c:v>3ккв</c:v>
                </c:pt>
                <c:pt idx="3">
                  <c:v>&gt;3ккв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0.45297737150415762</c:v>
                </c:pt>
                <c:pt idx="1">
                  <c:v>0.32881590136054517</c:v>
                </c:pt>
                <c:pt idx="2">
                  <c:v>0.21146896258503436</c:v>
                </c:pt>
                <c:pt idx="3">
                  <c:v>6.7377645502645564E-3</c:v>
                </c:pt>
              </c:numCache>
            </c:numRef>
          </c:val>
        </c:ser>
      </c:pie3DChart>
      <c:spPr>
        <a:noFill/>
        <a:ln w="25380">
          <a:noFill/>
        </a:ln>
      </c:spPr>
    </c:plotArea>
    <c:plotVisOnly val="1"/>
    <c:dispBlanksAs val="zero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 sz="998"/>
      </a:pPr>
      <a:endParaRPr lang="ru-RU"/>
    </a:p>
  </c:txPr>
  <c:externalData r:id="rId2"/>
  <c:userShapes r:id="rId3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plotArea>
      <c:layout>
        <c:manualLayout>
          <c:layoutTarget val="inner"/>
          <c:xMode val="edge"/>
          <c:yMode val="edge"/>
          <c:x val="0.19495227615600244"/>
          <c:y val="4.2530948144567364E-2"/>
          <c:w val="0.75713131357499386"/>
          <c:h val="0.817000887828023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1ккв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[$-419]mmmm\ yyyy;@</c:formatCode>
                <c:ptCount val="7"/>
                <c:pt idx="0">
                  <c:v>41518</c:v>
                </c:pt>
                <c:pt idx="1">
                  <c:v>41548</c:v>
                </c:pt>
                <c:pt idx="2">
                  <c:v>41579</c:v>
                </c:pt>
                <c:pt idx="3">
                  <c:v>41609</c:v>
                </c:pt>
                <c:pt idx="4">
                  <c:v>41640</c:v>
                </c:pt>
                <c:pt idx="5">
                  <c:v>41671</c:v>
                </c:pt>
                <c:pt idx="6">
                  <c:v>41699</c:v>
                </c:pt>
              </c:numCache>
            </c:num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65771.676831185134</c:v>
                </c:pt>
                <c:pt idx="1">
                  <c:v>65517.94283345851</c:v>
                </c:pt>
                <c:pt idx="2">
                  <c:v>66102.527528594219</c:v>
                </c:pt>
                <c:pt idx="3">
                  <c:v>66181.224950146672</c:v>
                </c:pt>
                <c:pt idx="4">
                  <c:v>65914.718692185605</c:v>
                </c:pt>
                <c:pt idx="5">
                  <c:v>65987.60175723127</c:v>
                </c:pt>
                <c:pt idx="6">
                  <c:v>66267.60005349954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2ккв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[$-419]mmmm\ yyyy;@</c:formatCode>
                <c:ptCount val="7"/>
                <c:pt idx="0">
                  <c:v>41518</c:v>
                </c:pt>
                <c:pt idx="1">
                  <c:v>41548</c:v>
                </c:pt>
                <c:pt idx="2">
                  <c:v>41579</c:v>
                </c:pt>
                <c:pt idx="3">
                  <c:v>41609</c:v>
                </c:pt>
                <c:pt idx="4">
                  <c:v>41640</c:v>
                </c:pt>
                <c:pt idx="5">
                  <c:v>41671</c:v>
                </c:pt>
                <c:pt idx="6">
                  <c:v>41699</c:v>
                </c:pt>
              </c:numCache>
            </c:num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58974.530071034831</c:v>
                </c:pt>
                <c:pt idx="1">
                  <c:v>59508.11449028772</c:v>
                </c:pt>
                <c:pt idx="2">
                  <c:v>59316.759044456281</c:v>
                </c:pt>
                <c:pt idx="3">
                  <c:v>59214.909866129543</c:v>
                </c:pt>
                <c:pt idx="4">
                  <c:v>59914.532286446069</c:v>
                </c:pt>
                <c:pt idx="5">
                  <c:v>61470.122145272275</c:v>
                </c:pt>
                <c:pt idx="6">
                  <c:v>61166.809731380192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3ккв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[$-419]mmmm\ yyyy;@</c:formatCode>
                <c:ptCount val="7"/>
                <c:pt idx="0">
                  <c:v>41518</c:v>
                </c:pt>
                <c:pt idx="1">
                  <c:v>41548</c:v>
                </c:pt>
                <c:pt idx="2">
                  <c:v>41579</c:v>
                </c:pt>
                <c:pt idx="3">
                  <c:v>41609</c:v>
                </c:pt>
                <c:pt idx="4">
                  <c:v>41640</c:v>
                </c:pt>
                <c:pt idx="5">
                  <c:v>41671</c:v>
                </c:pt>
                <c:pt idx="6">
                  <c:v>41699</c:v>
                </c:pt>
              </c:numCache>
            </c:numRef>
          </c:cat>
          <c:val>
            <c:numRef>
              <c:f>Лист1!$D$2:$D$8</c:f>
              <c:numCache>
                <c:formatCode>#,##0.0</c:formatCode>
                <c:ptCount val="7"/>
                <c:pt idx="0">
                  <c:v>57464.87566114834</c:v>
                </c:pt>
                <c:pt idx="1">
                  <c:v>57269.448102960872</c:v>
                </c:pt>
                <c:pt idx="2">
                  <c:v>58042.027125548651</c:v>
                </c:pt>
                <c:pt idx="3">
                  <c:v>58139.420148098201</c:v>
                </c:pt>
                <c:pt idx="4">
                  <c:v>57788.144697270611</c:v>
                </c:pt>
                <c:pt idx="5">
                  <c:v>57837.761400945958</c:v>
                </c:pt>
                <c:pt idx="6">
                  <c:v>57937.566452438732</c:v>
                </c:pt>
              </c:numCache>
            </c:numRef>
          </c:val>
        </c:ser>
        <c:marker val="1"/>
        <c:axId val="91937408"/>
        <c:axId val="119530624"/>
      </c:lineChart>
      <c:dateAx>
        <c:axId val="91937408"/>
        <c:scaling>
          <c:orientation val="minMax"/>
        </c:scaling>
        <c:axPos val="b"/>
        <c:minorGridlines/>
        <c:numFmt formatCode="mmm\ yy" sourceLinked="0"/>
        <c:tickLblPos val="nextTo"/>
        <c:crossAx val="119530624"/>
        <c:crosses val="autoZero"/>
        <c:auto val="1"/>
        <c:lblOffset val="100"/>
        <c:majorUnit val="2"/>
        <c:majorTimeUnit val="months"/>
      </c:dateAx>
      <c:valAx>
        <c:axId val="119530624"/>
        <c:scaling>
          <c:orientation val="minMax"/>
        </c:scaling>
        <c:axPos val="l"/>
        <c:majorGridlines/>
        <c:numFmt formatCode="#,##0" sourceLinked="0"/>
        <c:tickLblPos val="nextTo"/>
        <c:crossAx val="91937408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  <c:layout>
        <c:manualLayout>
          <c:xMode val="edge"/>
          <c:yMode val="edge"/>
          <c:x val="0.71639566526576814"/>
          <c:y val="0.54107582706007995"/>
          <c:w val="0.20258345007487571"/>
          <c:h val="0.29251478180612062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txPr>
    <a:bodyPr/>
    <a:lstStyle/>
    <a:p>
      <a:pPr>
        <a:defRPr sz="996"/>
      </a:pPr>
      <a:endParaRPr lang="ru-RU"/>
    </a:p>
  </c:txPr>
  <c:externalData r:id="rId2"/>
  <c:userShapes r:id="rId3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0.18515148083049945"/>
          <c:y val="3.5452410049677092E-3"/>
          <c:w val="0.75214407756828827"/>
          <c:h val="0.836574375333957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&lt;30</c:v>
                </c:pt>
                <c:pt idx="1">
                  <c:v>30-35</c:v>
                </c:pt>
                <c:pt idx="2">
                  <c:v>35-40</c:v>
                </c:pt>
                <c:pt idx="3">
                  <c:v>40-45</c:v>
                </c:pt>
                <c:pt idx="4">
                  <c:v>45-50</c:v>
                </c:pt>
                <c:pt idx="5">
                  <c:v>&gt;50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3.8079470198675539E-2</c:v>
                </c:pt>
                <c:pt idx="1">
                  <c:v>0.1316225165562914</c:v>
                </c:pt>
                <c:pt idx="2">
                  <c:v>0.34105960264900681</c:v>
                </c:pt>
                <c:pt idx="3">
                  <c:v>0.24254966887417237</c:v>
                </c:pt>
                <c:pt idx="4">
                  <c:v>0.20281456953642407</c:v>
                </c:pt>
                <c:pt idx="5">
                  <c:v>4.3874172185430466E-2</c:v>
                </c:pt>
              </c:numCache>
            </c:numRef>
          </c:val>
        </c:ser>
        <c:axId val="91892736"/>
        <c:axId val="91923200"/>
      </c:barChart>
      <c:catAx>
        <c:axId val="91892736"/>
        <c:scaling>
          <c:orientation val="minMax"/>
        </c:scaling>
        <c:axPos val="l"/>
        <c:minorGridlines/>
        <c:numFmt formatCode="General" sourceLinked="1"/>
        <c:tickLblPos val="nextTo"/>
        <c:crossAx val="91923200"/>
        <c:crosses val="autoZero"/>
        <c:auto val="1"/>
        <c:lblAlgn val="ctr"/>
        <c:lblOffset val="100"/>
      </c:catAx>
      <c:valAx>
        <c:axId val="91923200"/>
        <c:scaling>
          <c:orientation val="minMax"/>
        </c:scaling>
        <c:axPos val="b"/>
        <c:majorGridlines/>
        <c:numFmt formatCode="0%" sourceLinked="0"/>
        <c:tickLblPos val="nextTo"/>
        <c:crossAx val="91892736"/>
        <c:crosses val="autoZero"/>
        <c:crossBetween val="between"/>
        <c:majorUnit val="0.1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998"/>
      </a:pPr>
      <a:endParaRPr lang="ru-RU"/>
    </a:p>
  </c:txPr>
  <c:externalData r:id="rId2"/>
  <c:userShapes r:id="rId3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0.18515148083049957"/>
          <c:y val="3.5452410049677092E-3"/>
          <c:w val="0.75214407756828883"/>
          <c:h val="0.836574375333957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&lt;40</c:v>
                </c:pt>
                <c:pt idx="1">
                  <c:v>40-50</c:v>
                </c:pt>
                <c:pt idx="2">
                  <c:v>50-60</c:v>
                </c:pt>
                <c:pt idx="3">
                  <c:v>60-70</c:v>
                </c:pt>
                <c:pt idx="4">
                  <c:v>70-80</c:v>
                </c:pt>
                <c:pt idx="5">
                  <c:v>&gt;80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7.9817559863170004E-3</c:v>
                </c:pt>
                <c:pt idx="1">
                  <c:v>2.0524515393386518E-2</c:v>
                </c:pt>
                <c:pt idx="2">
                  <c:v>0.3751425313568989</c:v>
                </c:pt>
                <c:pt idx="3">
                  <c:v>0.39110604332953297</c:v>
                </c:pt>
                <c:pt idx="4">
                  <c:v>0.14481185860889395</c:v>
                </c:pt>
                <c:pt idx="5">
                  <c:v>6.0433295324971534E-2</c:v>
                </c:pt>
              </c:numCache>
            </c:numRef>
          </c:val>
        </c:ser>
        <c:axId val="92041216"/>
        <c:axId val="92042752"/>
      </c:barChart>
      <c:catAx>
        <c:axId val="92041216"/>
        <c:scaling>
          <c:orientation val="minMax"/>
        </c:scaling>
        <c:axPos val="l"/>
        <c:minorGridlines/>
        <c:numFmt formatCode="General" sourceLinked="1"/>
        <c:tickLblPos val="nextTo"/>
        <c:crossAx val="92042752"/>
        <c:crosses val="autoZero"/>
        <c:auto val="1"/>
        <c:lblAlgn val="ctr"/>
        <c:lblOffset val="100"/>
      </c:catAx>
      <c:valAx>
        <c:axId val="92042752"/>
        <c:scaling>
          <c:orientation val="minMax"/>
        </c:scaling>
        <c:axPos val="b"/>
        <c:majorGridlines/>
        <c:numFmt formatCode="0%" sourceLinked="0"/>
        <c:tickLblPos val="nextTo"/>
        <c:crossAx val="92041216"/>
        <c:crosses val="autoZero"/>
        <c:crossBetween val="between"/>
        <c:majorUnit val="0.1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998"/>
      </a:pPr>
      <a:endParaRPr lang="ru-RU"/>
    </a:p>
  </c:txPr>
  <c:externalData r:id="rId2"/>
  <c:userShapes r:id="rId3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0.18515148083049957"/>
          <c:y val="3.5452410049677092E-3"/>
          <c:w val="0.75214407756828883"/>
          <c:h val="0.836574375333957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&lt;60</c:v>
                </c:pt>
                <c:pt idx="1">
                  <c:v>60-75</c:v>
                </c:pt>
                <c:pt idx="2">
                  <c:v>75-90</c:v>
                </c:pt>
                <c:pt idx="3">
                  <c:v>90-105</c:v>
                </c:pt>
                <c:pt idx="4">
                  <c:v>105-120</c:v>
                </c:pt>
                <c:pt idx="5">
                  <c:v>&gt;120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</c:v>
                </c:pt>
                <c:pt idx="1">
                  <c:v>0.48404255319148937</c:v>
                </c:pt>
                <c:pt idx="2">
                  <c:v>0.27127659574468144</c:v>
                </c:pt>
                <c:pt idx="3">
                  <c:v>0.18617021276595738</c:v>
                </c:pt>
                <c:pt idx="4">
                  <c:v>3.5460992907801435E-2</c:v>
                </c:pt>
                <c:pt idx="5">
                  <c:v>2.3049645390070948E-2</c:v>
                </c:pt>
              </c:numCache>
            </c:numRef>
          </c:val>
        </c:ser>
        <c:axId val="93004544"/>
        <c:axId val="93006080"/>
      </c:barChart>
      <c:catAx>
        <c:axId val="93004544"/>
        <c:scaling>
          <c:orientation val="minMax"/>
        </c:scaling>
        <c:axPos val="l"/>
        <c:minorGridlines/>
        <c:numFmt formatCode="General" sourceLinked="1"/>
        <c:tickLblPos val="nextTo"/>
        <c:crossAx val="93006080"/>
        <c:crosses val="autoZero"/>
        <c:auto val="1"/>
        <c:lblAlgn val="ctr"/>
        <c:lblOffset val="100"/>
      </c:catAx>
      <c:valAx>
        <c:axId val="93006080"/>
        <c:scaling>
          <c:orientation val="minMax"/>
        </c:scaling>
        <c:axPos val="b"/>
        <c:majorGridlines/>
        <c:numFmt formatCode="0%" sourceLinked="0"/>
        <c:tickLblPos val="nextTo"/>
        <c:crossAx val="93004544"/>
        <c:crosses val="autoZero"/>
        <c:crossBetween val="between"/>
        <c:majorUnit val="0.1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1000"/>
      </a:pPr>
      <a:endParaRPr lang="ru-RU"/>
    </a:p>
  </c:tx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0.13434433211125227"/>
          <c:y val="4.32379735584935E-2"/>
          <c:w val="0.82324679973830051"/>
          <c:h val="0.823217097862754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Лист1!$A$2:$A$8</c:f>
              <c:numCache>
                <c:formatCode>[$-419]mmmm\ yyyy;@</c:formatCode>
                <c:ptCount val="7"/>
                <c:pt idx="0">
                  <c:v>41518</c:v>
                </c:pt>
                <c:pt idx="1">
                  <c:v>41548</c:v>
                </c:pt>
                <c:pt idx="2">
                  <c:v>41579</c:v>
                </c:pt>
                <c:pt idx="3">
                  <c:v>41609</c:v>
                </c:pt>
                <c:pt idx="4">
                  <c:v>41640</c:v>
                </c:pt>
                <c:pt idx="5">
                  <c:v>41671</c:v>
                </c:pt>
                <c:pt idx="6">
                  <c:v>41699</c:v>
                </c:pt>
              </c:numCache>
            </c:numRef>
          </c:cat>
          <c:val>
            <c:numRef>
              <c:f>Лист1!$B$2:$B$8</c:f>
              <c:numCache>
                <c:formatCode>0.00%</c:formatCode>
                <c:ptCount val="7"/>
                <c:pt idx="0">
                  <c:v>1.8388682698069501E-2</c:v>
                </c:pt>
                <c:pt idx="1">
                  <c:v>5.9247633135268794E-3</c:v>
                </c:pt>
                <c:pt idx="2">
                  <c:v>4.1348382463723965E-3</c:v>
                </c:pt>
                <c:pt idx="3">
                  <c:v>1.1130248545372381E-3</c:v>
                </c:pt>
                <c:pt idx="4">
                  <c:v>1.0256505087971059E-3</c:v>
                </c:pt>
                <c:pt idx="5">
                  <c:v>1.9339319181841397E-3</c:v>
                </c:pt>
                <c:pt idx="6">
                  <c:v>5.4372916901799361E-3</c:v>
                </c:pt>
              </c:numCache>
            </c:numRef>
          </c:val>
        </c:ser>
        <c:axId val="75437952"/>
        <c:axId val="75559296"/>
      </c:barChart>
      <c:dateAx>
        <c:axId val="75437952"/>
        <c:scaling>
          <c:orientation val="minMax"/>
        </c:scaling>
        <c:axPos val="b"/>
        <c:minorGridlines/>
        <c:numFmt formatCode="mmm\ yy" sourceLinked="0"/>
        <c:tickLblPos val="nextTo"/>
        <c:crossAx val="75559296"/>
        <c:crosses val="autoZero"/>
        <c:auto val="1"/>
        <c:lblOffset val="100"/>
        <c:majorUnit val="2"/>
        <c:majorTimeUnit val="months"/>
      </c:dateAx>
      <c:valAx>
        <c:axId val="75559296"/>
        <c:scaling>
          <c:orientation val="minMax"/>
        </c:scaling>
        <c:axPos val="l"/>
        <c:majorGridlines/>
        <c:numFmt formatCode="0.0%" sourceLinked="0"/>
        <c:tickLblPos val="nextTo"/>
        <c:crossAx val="75437952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996"/>
      </a:pPr>
      <a:endParaRPr lang="ru-RU"/>
    </a:p>
  </c:txPr>
  <c:externalData r:id="rId2"/>
  <c:userShapes r:id="rId3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plotArea>
      <c:layout>
        <c:manualLayout>
          <c:layoutTarget val="inner"/>
          <c:xMode val="edge"/>
          <c:yMode val="edge"/>
          <c:x val="0.19495227615600641"/>
          <c:y val="4.2530948144567364E-2"/>
          <c:w val="0.76017925615012882"/>
          <c:h val="0.817000887828023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1ккв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[$-419]mmmm\ yyyy;@</c:formatCode>
                <c:ptCount val="7"/>
                <c:pt idx="0">
                  <c:v>41518</c:v>
                </c:pt>
                <c:pt idx="1">
                  <c:v>41548</c:v>
                </c:pt>
                <c:pt idx="2">
                  <c:v>41579</c:v>
                </c:pt>
                <c:pt idx="3">
                  <c:v>41609</c:v>
                </c:pt>
                <c:pt idx="4">
                  <c:v>41640</c:v>
                </c:pt>
                <c:pt idx="5">
                  <c:v>41671</c:v>
                </c:pt>
                <c:pt idx="6">
                  <c:v>41699</c:v>
                </c:pt>
              </c:numCache>
            </c:numRef>
          </c:cat>
          <c:val>
            <c:numRef>
              <c:f>Лист1!$B$2:$B$8</c:f>
              <c:numCache>
                <c:formatCode>#,##0</c:formatCode>
                <c:ptCount val="7"/>
                <c:pt idx="0">
                  <c:v>20246.048109965599</c:v>
                </c:pt>
                <c:pt idx="1">
                  <c:v>21291.291291291305</c:v>
                </c:pt>
                <c:pt idx="2">
                  <c:v>19613.341543513958</c:v>
                </c:pt>
                <c:pt idx="3">
                  <c:v>20549.513704686116</c:v>
                </c:pt>
                <c:pt idx="4">
                  <c:v>21357.860696517408</c:v>
                </c:pt>
                <c:pt idx="5">
                  <c:v>20559.537020125215</c:v>
                </c:pt>
                <c:pt idx="6">
                  <c:v>19591.946588493458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2ккв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[$-419]mmmm\ yyyy;@</c:formatCode>
                <c:ptCount val="7"/>
                <c:pt idx="0">
                  <c:v>41518</c:v>
                </c:pt>
                <c:pt idx="1">
                  <c:v>41548</c:v>
                </c:pt>
                <c:pt idx="2">
                  <c:v>41579</c:v>
                </c:pt>
                <c:pt idx="3">
                  <c:v>41609</c:v>
                </c:pt>
                <c:pt idx="4">
                  <c:v>41640</c:v>
                </c:pt>
                <c:pt idx="5">
                  <c:v>41671</c:v>
                </c:pt>
                <c:pt idx="6">
                  <c:v>41699</c:v>
                </c:pt>
              </c:numCache>
            </c:numRef>
          </c:cat>
          <c:val>
            <c:numRef>
              <c:f>Лист1!$C$2:$C$8</c:f>
              <c:numCache>
                <c:formatCode>#,##0</c:formatCode>
                <c:ptCount val="7"/>
                <c:pt idx="0">
                  <c:v>25611.369716425779</c:v>
                </c:pt>
                <c:pt idx="1">
                  <c:v>26185.818561000979</c:v>
                </c:pt>
                <c:pt idx="2">
                  <c:v>26035.814034174698</c:v>
                </c:pt>
                <c:pt idx="3">
                  <c:v>25990.346986347002</c:v>
                </c:pt>
                <c:pt idx="4">
                  <c:v>25894.324853229031</c:v>
                </c:pt>
                <c:pt idx="5">
                  <c:v>25872.35121812814</c:v>
                </c:pt>
                <c:pt idx="6">
                  <c:v>25702.801648651952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3ккв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[$-419]mmmm\ yyyy;@</c:formatCode>
                <c:ptCount val="7"/>
                <c:pt idx="0">
                  <c:v>41518</c:v>
                </c:pt>
                <c:pt idx="1">
                  <c:v>41548</c:v>
                </c:pt>
                <c:pt idx="2">
                  <c:v>41579</c:v>
                </c:pt>
                <c:pt idx="3">
                  <c:v>41609</c:v>
                </c:pt>
                <c:pt idx="4">
                  <c:v>41640</c:v>
                </c:pt>
                <c:pt idx="5">
                  <c:v>41671</c:v>
                </c:pt>
                <c:pt idx="6">
                  <c:v>41699</c:v>
                </c:pt>
              </c:numCache>
            </c:numRef>
          </c:cat>
          <c:val>
            <c:numRef>
              <c:f>Лист1!$D$2:$D$8</c:f>
              <c:numCache>
                <c:formatCode>#,##0</c:formatCode>
                <c:ptCount val="7"/>
                <c:pt idx="0">
                  <c:v>40892.149122806994</c:v>
                </c:pt>
                <c:pt idx="1">
                  <c:v>38151.162790697657</c:v>
                </c:pt>
                <c:pt idx="2">
                  <c:v>37826.123407109233</c:v>
                </c:pt>
                <c:pt idx="3">
                  <c:v>37966.66666666665</c:v>
                </c:pt>
                <c:pt idx="4">
                  <c:v>38081.0546875</c:v>
                </c:pt>
                <c:pt idx="5">
                  <c:v>37080.690896325337</c:v>
                </c:pt>
                <c:pt idx="6">
                  <c:v>36627.759622367455</c:v>
                </c:pt>
              </c:numCache>
            </c:numRef>
          </c:val>
        </c:ser>
        <c:marker val="1"/>
        <c:axId val="91913216"/>
        <c:axId val="92070656"/>
      </c:lineChart>
      <c:dateAx>
        <c:axId val="91913216"/>
        <c:scaling>
          <c:orientation val="minMax"/>
        </c:scaling>
        <c:axPos val="b"/>
        <c:minorGridlines/>
        <c:numFmt formatCode="mmm\ yy" sourceLinked="0"/>
        <c:tickLblPos val="nextTo"/>
        <c:crossAx val="92070656"/>
        <c:crosses val="autoZero"/>
        <c:auto val="1"/>
        <c:lblOffset val="100"/>
        <c:majorUnit val="2"/>
        <c:majorTimeUnit val="months"/>
      </c:dateAx>
      <c:valAx>
        <c:axId val="92070656"/>
        <c:scaling>
          <c:orientation val="minMax"/>
        </c:scaling>
        <c:axPos val="l"/>
        <c:majorGridlines/>
        <c:numFmt formatCode="#,##0" sourceLinked="0"/>
        <c:tickLblPos val="nextTo"/>
        <c:crossAx val="91913216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  <c:layout>
        <c:manualLayout>
          <c:xMode val="edge"/>
          <c:yMode val="edge"/>
          <c:x val="0.26994004048614129"/>
          <c:y val="0.71750061629036765"/>
          <c:w val="0.68555629959744757"/>
          <c:h val="0.11235335914502388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txPr>
    <a:bodyPr/>
    <a:lstStyle/>
    <a:p>
      <a:pPr>
        <a:defRPr sz="1000"/>
      </a:pPr>
      <a:endParaRPr lang="ru-RU"/>
    </a:p>
  </c:txPr>
  <c:externalData r:id="rId2"/>
  <c:userShapes r:id="rId3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0249230598357488E-2"/>
          <c:y val="0.23742041168736752"/>
          <c:w val="0.81167499476802363"/>
          <c:h val="0.755796364506523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7000944712807004E-3"/>
                  <c:y val="-5.8675124034147192E-3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-0.20990124010903327"/>
                  <c:y val="-0.15479397455309798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0.19344441747843968"/>
                  <c:y val="-0.12964787445596473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-6.4481472492813122E-2"/>
                  <c:y val="2.7483060509857073E-2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-2.2446999106736986E-2"/>
                  <c:y val="-2.8137024740578147E-2"/>
                </c:manualLayout>
              </c:layout>
              <c:dLblPos val="bestFit"/>
              <c:showVal val="1"/>
              <c:showCatName val="1"/>
            </c:dLbl>
            <c:dLbl>
              <c:idx val="5"/>
              <c:delet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Лист1!$A$2:$A$6</c:f>
              <c:strCache>
                <c:ptCount val="5"/>
                <c:pt idx="0">
                  <c:v>комната</c:v>
                </c:pt>
                <c:pt idx="1">
                  <c:v>1ккв</c:v>
                </c:pt>
                <c:pt idx="2">
                  <c:v>2ккв</c:v>
                </c:pt>
                <c:pt idx="3">
                  <c:v>3ккв</c:v>
                </c:pt>
                <c:pt idx="4">
                  <c:v>&gt;3ккв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0.10593355270141189</c:v>
                </c:pt>
                <c:pt idx="1">
                  <c:v>0.42681244029296317</c:v>
                </c:pt>
                <c:pt idx="2">
                  <c:v>0.35335951597495036</c:v>
                </c:pt>
                <c:pt idx="3">
                  <c:v>0.10540282347946078</c:v>
                </c:pt>
                <c:pt idx="4">
                  <c:v>8.4916675512153768E-3</c:v>
                </c:pt>
              </c:numCache>
            </c:numRef>
          </c:val>
        </c:ser>
      </c:pie3DChart>
      <c:spPr>
        <a:noFill/>
        <a:ln w="25374">
          <a:noFill/>
        </a:ln>
      </c:spPr>
    </c:plotArea>
    <c:plotVisOnly val="1"/>
    <c:dispBlanksAs val="zero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 sz="995"/>
      </a:pPr>
      <a:endParaRPr lang="ru-RU"/>
    </a:p>
  </c:txPr>
  <c:externalData r:id="rId2"/>
  <c:userShapes r:id="rId3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1647158075828805"/>
          <c:y val="0.22384971218093871"/>
          <c:w val="0.81167499476802363"/>
          <c:h val="0.755796364506523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4.9057103156222434E-3"/>
                  <c:y val="1.4352484583220686E-2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-0.17981605240521442"/>
                  <c:y val="-0.14703456072731091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0.21008403361344541"/>
                  <c:y val="-0.14757205093654718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1.2876662476014008E-2"/>
                  <c:y val="1.033947368702256E-2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-1.2224574869317542E-3"/>
                  <c:y val="-1.6969410075109721E-2"/>
                </c:manualLayout>
              </c:layout>
              <c:dLblPos val="bestFit"/>
              <c:showVal val="1"/>
              <c:showCatName val="1"/>
            </c:dLbl>
            <c:dLbl>
              <c:idx val="5"/>
              <c:delet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Лист1!$A$2:$A$6</c:f>
              <c:strCache>
                <c:ptCount val="5"/>
                <c:pt idx="0">
                  <c:v>комната</c:v>
                </c:pt>
                <c:pt idx="1">
                  <c:v>1ккв</c:v>
                </c:pt>
                <c:pt idx="2">
                  <c:v>2ккв</c:v>
                </c:pt>
                <c:pt idx="3">
                  <c:v>3ккв</c:v>
                </c:pt>
                <c:pt idx="4">
                  <c:v>&gt;3ккв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9.2170465807730445E-2</c:v>
                </c:pt>
                <c:pt idx="1">
                  <c:v>0.42814667988107075</c:v>
                </c:pt>
                <c:pt idx="2">
                  <c:v>0.35257680872150648</c:v>
                </c:pt>
                <c:pt idx="3">
                  <c:v>0.11372646184340948</c:v>
                </c:pt>
                <c:pt idx="4">
                  <c:v>1.3379583746283468E-2</c:v>
                </c:pt>
              </c:numCache>
            </c:numRef>
          </c:val>
        </c:ser>
      </c:pie3DChart>
      <c:spPr>
        <a:noFill/>
        <a:ln w="25373">
          <a:noFill/>
        </a:ln>
      </c:spPr>
    </c:plotArea>
    <c:plotVisOnly val="1"/>
    <c:dispBlanksAs val="zero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 sz="995"/>
      </a:pPr>
      <a:endParaRPr lang="ru-RU"/>
    </a:p>
  </c:tx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plotArea>
      <c:layout>
        <c:manualLayout>
          <c:layoutTarget val="inner"/>
          <c:xMode val="edge"/>
          <c:yMode val="edge"/>
          <c:x val="0.15990721600681918"/>
          <c:y val="0"/>
          <c:w val="0.77601470657852933"/>
          <c:h val="0.8824385195334224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Февраль 2014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&lt;50</c:v>
                </c:pt>
                <c:pt idx="1">
                  <c:v>50-60</c:v>
                </c:pt>
                <c:pt idx="2">
                  <c:v>60-70</c:v>
                </c:pt>
                <c:pt idx="3">
                  <c:v>70-80</c:v>
                </c:pt>
                <c:pt idx="4">
                  <c:v>80-90</c:v>
                </c:pt>
                <c:pt idx="5">
                  <c:v>90-100</c:v>
                </c:pt>
                <c:pt idx="6">
                  <c:v>100-110</c:v>
                </c:pt>
                <c:pt idx="7">
                  <c:v>&gt;110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2.8699811566893805E-2</c:v>
                </c:pt>
                <c:pt idx="1">
                  <c:v>0.11284244093346861</c:v>
                </c:pt>
                <c:pt idx="2">
                  <c:v>0.27554718075083345</c:v>
                </c:pt>
                <c:pt idx="3">
                  <c:v>0.28591100159443433</c:v>
                </c:pt>
                <c:pt idx="4">
                  <c:v>0.1708218582403247</c:v>
                </c:pt>
                <c:pt idx="5">
                  <c:v>7.4720974054210895E-2</c:v>
                </c:pt>
                <c:pt idx="6">
                  <c:v>3.0946513987534442E-2</c:v>
                </c:pt>
                <c:pt idx="7">
                  <c:v>2.0510218872300371E-2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Март 2014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cat>
            <c:strRef>
              <c:f>Лист1!$A$2:$A$9</c:f>
              <c:strCache>
                <c:ptCount val="8"/>
                <c:pt idx="0">
                  <c:v>&lt;50</c:v>
                </c:pt>
                <c:pt idx="1">
                  <c:v>50-60</c:v>
                </c:pt>
                <c:pt idx="2">
                  <c:v>60-70</c:v>
                </c:pt>
                <c:pt idx="3">
                  <c:v>70-80</c:v>
                </c:pt>
                <c:pt idx="4">
                  <c:v>80-90</c:v>
                </c:pt>
                <c:pt idx="5">
                  <c:v>90-100</c:v>
                </c:pt>
                <c:pt idx="6">
                  <c:v>100-110</c:v>
                </c:pt>
                <c:pt idx="7">
                  <c:v>&gt;110</c:v>
                </c:pt>
              </c:strCache>
            </c:strRef>
          </c:cat>
          <c:val>
            <c:numRef>
              <c:f>Лист1!$C$2:$C$9</c:f>
              <c:numCache>
                <c:formatCode>0.00%</c:formatCode>
                <c:ptCount val="8"/>
                <c:pt idx="0">
                  <c:v>3.0070101764521271E-2</c:v>
                </c:pt>
                <c:pt idx="1">
                  <c:v>0.10807049402412428</c:v>
                </c:pt>
                <c:pt idx="2">
                  <c:v>0.26268681750191897</c:v>
                </c:pt>
                <c:pt idx="3">
                  <c:v>0.27703080334000363</c:v>
                </c:pt>
                <c:pt idx="4">
                  <c:v>0.18335820839263875</c:v>
                </c:pt>
                <c:pt idx="5">
                  <c:v>7.9495010731423732E-2</c:v>
                </c:pt>
                <c:pt idx="6">
                  <c:v>3.6148499629759391E-2</c:v>
                </c:pt>
                <c:pt idx="7">
                  <c:v>2.3140064615610662E-2</c:v>
                </c:pt>
              </c:numCache>
            </c:numRef>
          </c:val>
        </c:ser>
        <c:axId val="75750016"/>
        <c:axId val="75768576"/>
      </c:barChart>
      <c:catAx>
        <c:axId val="75750016"/>
        <c:scaling>
          <c:orientation val="minMax"/>
        </c:scaling>
        <c:axPos val="l"/>
        <c:minorGridlines/>
        <c:numFmt formatCode="General" sourceLinked="1"/>
        <c:tickLblPos val="nextTo"/>
        <c:crossAx val="75768576"/>
        <c:crosses val="autoZero"/>
        <c:auto val="1"/>
        <c:lblAlgn val="ctr"/>
        <c:lblOffset val="100"/>
      </c:catAx>
      <c:valAx>
        <c:axId val="75768576"/>
        <c:scaling>
          <c:orientation val="minMax"/>
        </c:scaling>
        <c:axPos val="b"/>
        <c:majorGridlines/>
        <c:numFmt formatCode="0%" sourceLinked="0"/>
        <c:tickLblPos val="nextTo"/>
        <c:crossAx val="75750016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  <c:layout>
        <c:manualLayout>
          <c:xMode val="edge"/>
          <c:yMode val="edge"/>
          <c:x val="0.63693173488449184"/>
          <c:y val="0.6486574203605272"/>
          <c:w val="0.27940507436570444"/>
          <c:h val="0.2288149006754864"/>
        </c:manualLayout>
      </c:layout>
      <c:txPr>
        <a:bodyPr/>
        <a:lstStyle/>
        <a:p>
          <a:pPr>
            <a:defRPr sz="899" b="1"/>
          </a:pPr>
          <a:endParaRPr lang="ru-RU"/>
        </a:p>
      </c:txPr>
    </c:legend>
    <c:plotVisOnly val="1"/>
    <c:dispBlanksAs val="gap"/>
  </c:chart>
  <c:txPr>
    <a:bodyPr/>
    <a:lstStyle/>
    <a:p>
      <a:pPr>
        <a:defRPr sz="998"/>
      </a:pPr>
      <a:endParaRPr lang="ru-RU"/>
    </a:p>
  </c:txPr>
  <c:externalData r:id="rId2"/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6818893710341923E-2"/>
          <c:y val="0.17069190204435455"/>
          <c:w val="0.81167499476802363"/>
          <c:h val="0.755796364506520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8.1324915406202708E-2"/>
                  <c:y val="-0.11026107057718729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-0.14538883327990804"/>
                  <c:y val="-0.29560702159936431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2.1516948239371475E-2"/>
                  <c:y val="-0.12022538467095305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4.5640311971924294E-2"/>
                  <c:y val="-1.8030132458794857E-2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9.6866827550668763E-2"/>
                  <c:y val="1.7485207249834801E-2"/>
                </c:manualLayout>
              </c:layout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Лист1!$A$2:$A$5</c:f>
              <c:strCache>
                <c:ptCount val="4"/>
                <c:pt idx="0">
                  <c:v>1ккв</c:v>
                </c:pt>
                <c:pt idx="1">
                  <c:v>2ккв</c:v>
                </c:pt>
                <c:pt idx="2">
                  <c:v>3ккв</c:v>
                </c:pt>
                <c:pt idx="3">
                  <c:v>&gt;3ккв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0.2638725778038763</c:v>
                </c:pt>
                <c:pt idx="1">
                  <c:v>0.38300058719906149</c:v>
                </c:pt>
                <c:pt idx="2">
                  <c:v>0.28288314738696457</c:v>
                </c:pt>
                <c:pt idx="3">
                  <c:v>7.0243687610099817E-2</c:v>
                </c:pt>
              </c:numCache>
            </c:numRef>
          </c:val>
        </c:ser>
      </c:pie3DChart>
      <c:spPr>
        <a:noFill/>
        <a:ln w="25357">
          <a:noFill/>
        </a:ln>
      </c:spPr>
    </c:plotArea>
    <c:plotVisOnly val="1"/>
    <c:dispBlanksAs val="zero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 sz="996"/>
      </a:pPr>
      <a:endParaRPr lang="ru-RU"/>
    </a:p>
  </c:txPr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2145965625264555E-2"/>
          <c:y val="0.19417775318526395"/>
          <c:w val="0.81167499476802363"/>
          <c:h val="0.755796364506520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8.9984929303191866E-2"/>
                  <c:y val="-9.4008645736267063E-2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-0.1735781898230464"/>
                  <c:y val="-0.28129556174808384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2.8017949369232065E-2"/>
                  <c:y val="-0.17963739855356825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1.3913293259813241E-2"/>
                  <c:y val="-1.8029709872901808E-2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6.0634344721931493E-2"/>
                  <c:y val="1.7485228660027503E-2"/>
                </c:manualLayout>
              </c:layout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Лист1!$A$2:$A$5</c:f>
              <c:strCache>
                <c:ptCount val="4"/>
                <c:pt idx="0">
                  <c:v>1ккв</c:v>
                </c:pt>
                <c:pt idx="1">
                  <c:v>2ккв</c:v>
                </c:pt>
                <c:pt idx="2">
                  <c:v>3ккв</c:v>
                </c:pt>
                <c:pt idx="3">
                  <c:v>&gt;3ккв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0.24860701308590319</c:v>
                </c:pt>
                <c:pt idx="1">
                  <c:v>0.37442427436284048</c:v>
                </c:pt>
                <c:pt idx="2">
                  <c:v>0.29622823113117536</c:v>
                </c:pt>
                <c:pt idx="3">
                  <c:v>8.0740481420082208E-2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 sz="1000"/>
      </a:pPr>
      <a:endParaRPr lang="ru-RU"/>
    </a:p>
  </c:txPr>
  <c:externalData r:id="rId2"/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plotArea>
      <c:layout>
        <c:manualLayout>
          <c:layoutTarget val="inner"/>
          <c:xMode val="edge"/>
          <c:yMode val="edge"/>
          <c:x val="0.19495227615600244"/>
          <c:y val="4.2530948144567364E-2"/>
          <c:w val="0.75713131357499652"/>
          <c:h val="0.817000887828023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1ккв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[$-419]mmmm\ yyyy;@</c:formatCode>
                <c:ptCount val="7"/>
                <c:pt idx="0">
                  <c:v>41518</c:v>
                </c:pt>
                <c:pt idx="1">
                  <c:v>41548</c:v>
                </c:pt>
                <c:pt idx="2">
                  <c:v>41579</c:v>
                </c:pt>
                <c:pt idx="3">
                  <c:v>41609</c:v>
                </c:pt>
                <c:pt idx="4">
                  <c:v>41640</c:v>
                </c:pt>
                <c:pt idx="5">
                  <c:v>41671</c:v>
                </c:pt>
                <c:pt idx="6">
                  <c:v>41699</c:v>
                </c:pt>
              </c:numCache>
            </c:numRef>
          </c:cat>
          <c:val>
            <c:numRef>
              <c:f>Лист1!$B$2:$B$8</c:f>
              <c:numCache>
                <c:formatCode>#,##0</c:formatCode>
                <c:ptCount val="7"/>
                <c:pt idx="0">
                  <c:v>78777.249396649102</c:v>
                </c:pt>
                <c:pt idx="1">
                  <c:v>79169.813704503104</c:v>
                </c:pt>
                <c:pt idx="2">
                  <c:v>80043.078351887423</c:v>
                </c:pt>
                <c:pt idx="3">
                  <c:v>80419.334727420704</c:v>
                </c:pt>
                <c:pt idx="4">
                  <c:v>80843.536473445041</c:v>
                </c:pt>
                <c:pt idx="5">
                  <c:v>81287.713742655033</c:v>
                </c:pt>
                <c:pt idx="6">
                  <c:v>81876.062412127518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2ккв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[$-419]mmmm\ yyyy;@</c:formatCode>
                <c:ptCount val="7"/>
                <c:pt idx="0">
                  <c:v>41518</c:v>
                </c:pt>
                <c:pt idx="1">
                  <c:v>41548</c:v>
                </c:pt>
                <c:pt idx="2">
                  <c:v>41579</c:v>
                </c:pt>
                <c:pt idx="3">
                  <c:v>41609</c:v>
                </c:pt>
                <c:pt idx="4">
                  <c:v>41640</c:v>
                </c:pt>
                <c:pt idx="5">
                  <c:v>41671</c:v>
                </c:pt>
                <c:pt idx="6">
                  <c:v>41699</c:v>
                </c:pt>
              </c:numCache>
            </c:numRef>
          </c:cat>
          <c:val>
            <c:numRef>
              <c:f>Лист1!$C$2:$C$8</c:f>
              <c:numCache>
                <c:formatCode>#,##0</c:formatCode>
                <c:ptCount val="7"/>
                <c:pt idx="0">
                  <c:v>71296.8176806181</c:v>
                </c:pt>
                <c:pt idx="1">
                  <c:v>71720.719668096499</c:v>
                </c:pt>
                <c:pt idx="2">
                  <c:v>71952.212888266935</c:v>
                </c:pt>
                <c:pt idx="3">
                  <c:v>71984.187275314878</c:v>
                </c:pt>
                <c:pt idx="4">
                  <c:v>72349.579922989898</c:v>
                </c:pt>
                <c:pt idx="5">
                  <c:v>72710.178577404105</c:v>
                </c:pt>
                <c:pt idx="6">
                  <c:v>73022.843094804106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3ккв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[$-419]mmmm\ yyyy;@</c:formatCode>
                <c:ptCount val="7"/>
                <c:pt idx="0">
                  <c:v>41518</c:v>
                </c:pt>
                <c:pt idx="1">
                  <c:v>41548</c:v>
                </c:pt>
                <c:pt idx="2">
                  <c:v>41579</c:v>
                </c:pt>
                <c:pt idx="3">
                  <c:v>41609</c:v>
                </c:pt>
                <c:pt idx="4">
                  <c:v>41640</c:v>
                </c:pt>
                <c:pt idx="5">
                  <c:v>41671</c:v>
                </c:pt>
                <c:pt idx="6">
                  <c:v>41699</c:v>
                </c:pt>
              </c:numCache>
            </c:numRef>
          </c:cat>
          <c:val>
            <c:numRef>
              <c:f>Лист1!$D$2:$D$8</c:f>
              <c:numCache>
                <c:formatCode>#,##0</c:formatCode>
                <c:ptCount val="7"/>
                <c:pt idx="0">
                  <c:v>69537.659591677075</c:v>
                </c:pt>
                <c:pt idx="1">
                  <c:v>69934.723980024544</c:v>
                </c:pt>
                <c:pt idx="2">
                  <c:v>70144.710766339325</c:v>
                </c:pt>
                <c:pt idx="3">
                  <c:v>70094.19183094785</c:v>
                </c:pt>
                <c:pt idx="4">
                  <c:v>70394.968505528203</c:v>
                </c:pt>
                <c:pt idx="5">
                  <c:v>70417.884310234222</c:v>
                </c:pt>
                <c:pt idx="6">
                  <c:v>71031.398568679448</c:v>
                </c:pt>
              </c:numCache>
            </c:numRef>
          </c:val>
        </c:ser>
        <c:marker val="1"/>
        <c:axId val="77748480"/>
        <c:axId val="87740800"/>
      </c:lineChart>
      <c:dateAx>
        <c:axId val="77748480"/>
        <c:scaling>
          <c:orientation val="minMax"/>
        </c:scaling>
        <c:axPos val="b"/>
        <c:minorGridlines/>
        <c:numFmt formatCode="mmm\ yy" sourceLinked="0"/>
        <c:tickLblPos val="nextTo"/>
        <c:crossAx val="87740800"/>
        <c:crosses val="autoZero"/>
        <c:auto val="1"/>
        <c:lblOffset val="100"/>
        <c:majorUnit val="2"/>
        <c:majorTimeUnit val="months"/>
      </c:dateAx>
      <c:valAx>
        <c:axId val="87740800"/>
        <c:scaling>
          <c:orientation val="minMax"/>
        </c:scaling>
        <c:axPos val="l"/>
        <c:majorGridlines/>
        <c:numFmt formatCode="#,##0" sourceLinked="0"/>
        <c:tickLblPos val="nextTo"/>
        <c:crossAx val="77748480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  <c:layout>
        <c:manualLayout>
          <c:xMode val="edge"/>
          <c:yMode val="edge"/>
          <c:x val="0.71639566526576814"/>
          <c:y val="0.58515243286896768"/>
          <c:w val="0.20258345007487571"/>
          <c:h val="0.24843759914626096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txPr>
    <a:bodyPr/>
    <a:lstStyle/>
    <a:p>
      <a:pPr>
        <a:defRPr sz="995"/>
      </a:pPr>
      <a:endParaRPr lang="ru-RU"/>
    </a:p>
  </c:txPr>
  <c:externalData r:id="rId2"/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0.18515148083049934"/>
          <c:y val="3.5452410049677092E-3"/>
          <c:w val="0.75214407756828783"/>
          <c:h val="0.836574375333957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&lt;30</c:v>
                </c:pt>
                <c:pt idx="1">
                  <c:v>30-35</c:v>
                </c:pt>
                <c:pt idx="2">
                  <c:v>35-40</c:v>
                </c:pt>
                <c:pt idx="3">
                  <c:v>40-45</c:v>
                </c:pt>
                <c:pt idx="4">
                  <c:v>45-50</c:v>
                </c:pt>
                <c:pt idx="5">
                  <c:v>&gt;50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0.17348715716151522</c:v>
                </c:pt>
                <c:pt idx="1">
                  <c:v>0.37548976926425887</c:v>
                </c:pt>
                <c:pt idx="2">
                  <c:v>0.20787984327383538</c:v>
                </c:pt>
                <c:pt idx="3">
                  <c:v>0.12146277753591658</c:v>
                </c:pt>
                <c:pt idx="4">
                  <c:v>6.5520243796255956E-2</c:v>
                </c:pt>
                <c:pt idx="5">
                  <c:v>5.6160208968219417E-2</c:v>
                </c:pt>
              </c:numCache>
            </c:numRef>
          </c:val>
        </c:ser>
        <c:axId val="87968000"/>
        <c:axId val="87992960"/>
      </c:barChart>
      <c:catAx>
        <c:axId val="87968000"/>
        <c:scaling>
          <c:orientation val="minMax"/>
        </c:scaling>
        <c:axPos val="l"/>
        <c:minorGridlines/>
        <c:numFmt formatCode="General" sourceLinked="1"/>
        <c:tickLblPos val="nextTo"/>
        <c:crossAx val="87992960"/>
        <c:crosses val="autoZero"/>
        <c:auto val="1"/>
        <c:lblAlgn val="ctr"/>
        <c:lblOffset val="100"/>
      </c:catAx>
      <c:valAx>
        <c:axId val="87992960"/>
        <c:scaling>
          <c:orientation val="minMax"/>
        </c:scaling>
        <c:axPos val="b"/>
        <c:majorGridlines/>
        <c:numFmt formatCode="0%" sourceLinked="0"/>
        <c:tickLblPos val="nextTo"/>
        <c:crossAx val="87968000"/>
        <c:crosses val="autoZero"/>
        <c:crossBetween val="between"/>
        <c:majorUnit val="0.1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998"/>
      </a:pPr>
      <a:endParaRPr lang="ru-RU"/>
    </a:p>
  </c:txPr>
  <c:externalData r:id="rId2"/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0.18515148083049945"/>
          <c:y val="3.5452410049677092E-3"/>
          <c:w val="0.75214407756828827"/>
          <c:h val="0.836574375333957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&lt;40</c:v>
                </c:pt>
                <c:pt idx="1">
                  <c:v>40-50</c:v>
                </c:pt>
                <c:pt idx="2">
                  <c:v>50-60</c:v>
                </c:pt>
                <c:pt idx="3">
                  <c:v>60-70</c:v>
                </c:pt>
                <c:pt idx="4">
                  <c:v>70-80</c:v>
                </c:pt>
                <c:pt idx="5">
                  <c:v>&gt;80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6.3159416100592572E-2</c:v>
                </c:pt>
                <c:pt idx="1">
                  <c:v>0.61902008960832555</c:v>
                </c:pt>
                <c:pt idx="2">
                  <c:v>0.14987714987715006</c:v>
                </c:pt>
                <c:pt idx="3">
                  <c:v>9.4088741147564672E-2</c:v>
                </c:pt>
                <c:pt idx="4">
                  <c:v>4.0323746206099152E-2</c:v>
                </c:pt>
                <c:pt idx="5">
                  <c:v>3.3530857060268822E-2</c:v>
                </c:pt>
              </c:numCache>
            </c:numRef>
          </c:val>
        </c:ser>
        <c:axId val="88055168"/>
        <c:axId val="98518144"/>
      </c:barChart>
      <c:catAx>
        <c:axId val="88055168"/>
        <c:scaling>
          <c:orientation val="minMax"/>
        </c:scaling>
        <c:axPos val="l"/>
        <c:minorGridlines/>
        <c:numFmt formatCode="General" sourceLinked="1"/>
        <c:tickLblPos val="nextTo"/>
        <c:crossAx val="98518144"/>
        <c:crosses val="autoZero"/>
        <c:auto val="1"/>
        <c:lblAlgn val="ctr"/>
        <c:lblOffset val="100"/>
      </c:catAx>
      <c:valAx>
        <c:axId val="98518144"/>
        <c:scaling>
          <c:orientation val="minMax"/>
        </c:scaling>
        <c:axPos val="b"/>
        <c:majorGridlines/>
        <c:numFmt formatCode="0%" sourceLinked="0"/>
        <c:tickLblPos val="nextTo"/>
        <c:crossAx val="88055168"/>
        <c:crosses val="autoZero"/>
        <c:crossBetween val="between"/>
        <c:majorUnit val="0.1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998"/>
      </a:pPr>
      <a:endParaRPr lang="ru-RU"/>
    </a:p>
  </c:txPr>
  <c:externalData r:id="rId2"/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0.18515148083049945"/>
          <c:y val="3.5452410049677092E-3"/>
          <c:w val="0.75214407756828827"/>
          <c:h val="0.836574375333957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&lt;50</c:v>
                </c:pt>
                <c:pt idx="1">
                  <c:v>50-65</c:v>
                </c:pt>
                <c:pt idx="2">
                  <c:v>65-80</c:v>
                </c:pt>
                <c:pt idx="3">
                  <c:v>80-95</c:v>
                </c:pt>
                <c:pt idx="4">
                  <c:v>95-110</c:v>
                </c:pt>
                <c:pt idx="5">
                  <c:v>&gt;110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9.4994519546949385E-3</c:v>
                </c:pt>
                <c:pt idx="1">
                  <c:v>0.49104859335038414</c:v>
                </c:pt>
                <c:pt idx="2">
                  <c:v>0.22396784800876873</c:v>
                </c:pt>
                <c:pt idx="3">
                  <c:v>0.1370113262696383</c:v>
                </c:pt>
                <c:pt idx="4">
                  <c:v>7.3620752648885637E-2</c:v>
                </c:pt>
                <c:pt idx="5">
                  <c:v>6.4852027767628884E-2</c:v>
                </c:pt>
              </c:numCache>
            </c:numRef>
          </c:val>
        </c:ser>
        <c:axId val="114565888"/>
        <c:axId val="114819456"/>
      </c:barChart>
      <c:catAx>
        <c:axId val="114565888"/>
        <c:scaling>
          <c:orientation val="minMax"/>
        </c:scaling>
        <c:axPos val="l"/>
        <c:minorGridlines/>
        <c:numFmt formatCode="General" sourceLinked="1"/>
        <c:tickLblPos val="nextTo"/>
        <c:crossAx val="114819456"/>
        <c:crosses val="autoZero"/>
        <c:auto val="1"/>
        <c:lblAlgn val="ctr"/>
        <c:lblOffset val="100"/>
      </c:catAx>
      <c:valAx>
        <c:axId val="114819456"/>
        <c:scaling>
          <c:orientation val="minMax"/>
        </c:scaling>
        <c:axPos val="b"/>
        <c:majorGridlines/>
        <c:numFmt formatCode="0%" sourceLinked="0"/>
        <c:tickLblPos val="nextTo"/>
        <c:crossAx val="114565888"/>
        <c:crosses val="autoZero"/>
        <c:crossBetween val="between"/>
        <c:majorUnit val="0.1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</c:chart>
  <c:txPr>
    <a:bodyPr/>
    <a:lstStyle/>
    <a:p>
      <a:pPr>
        <a:defRPr sz="1000"/>
      </a:pPr>
      <a:endParaRPr lang="ru-RU"/>
    </a:p>
  </c:txPr>
  <c:externalData r:id="rId2"/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10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rawings/_rels/drawing1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1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13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14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rawings/_rels/drawing15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rawings/_rels/drawing16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rawings/_rels/drawing17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rawings/_rels/drawing18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rawings/_rels/drawing19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20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rawings/_rels/drawing2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rawings/_rels/drawing2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rawing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rawings/_rels/drawing7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rawings/_rels/drawing8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rawings/_rels/drawing9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0.16284</cdr:x>
      <cdr:y>0.00037</cdr:y>
    </cdr:from>
    <cdr:to>
      <cdr:x>0.37209</cdr:x>
      <cdr:y>0.12387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04350" y="666"/>
          <a:ext cx="648092" cy="2223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0.73932</cdr:x>
      <cdr:y>0</cdr:y>
    </cdr:from>
    <cdr:to>
      <cdr:x>0.93646</cdr:x>
      <cdr:y>0.11538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448272" y="-72008"/>
          <a:ext cx="652834" cy="2160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0.16284</cdr:x>
      <cdr:y>0.00037</cdr:y>
    </cdr:from>
    <cdr:to>
      <cdr:x>0.37209</cdr:x>
      <cdr:y>0.12387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04351" y="666"/>
          <a:ext cx="648076" cy="2223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0.77767</cdr:x>
      <cdr:y>0</cdr:y>
    </cdr:from>
    <cdr:to>
      <cdr:x>0.97752</cdr:x>
      <cdr:y>0.12181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519709" y="-72355"/>
          <a:ext cx="647531" cy="21928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0.74836</cdr:x>
      <cdr:y>0</cdr:y>
    </cdr:from>
    <cdr:to>
      <cdr:x>0.94608</cdr:x>
      <cdr:y>0.11511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371305" y="0"/>
          <a:ext cx="626491" cy="21562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3.38849E-7</cdr:x>
      <cdr:y>0</cdr:y>
    </cdr:from>
    <cdr:to>
      <cdr:x>0.21936</cdr:x>
      <cdr:y>0.12167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1" y="0"/>
          <a:ext cx="647352" cy="2189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0.44994</cdr:x>
      <cdr:y>0.85158</cdr:y>
    </cdr:from>
    <cdr:to>
      <cdr:x>1</cdr:x>
      <cdr:y>1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67705" y="1729457"/>
          <a:ext cx="1584027" cy="2462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defPPr>
            <a:defRPr lang="en-US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5pPr>
          <a:lvl6pPr marL="22860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6pPr>
          <a:lvl7pPr marL="27432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7pPr>
          <a:lvl8pPr marL="32004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8pPr>
          <a:lvl9pPr marL="36576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9pPr>
        </a:lstStyle>
        <a:p xmlns:a="http://schemas.openxmlformats.org/drawingml/2006/main">
          <a:pPr algn="r">
            <a:defRPr/>
          </a:pPr>
          <a:r>
            <a:rPr lang="ru-RU" sz="1000" b="1" dirty="0" smtClean="0">
              <a:latin typeface="Calibri" pitchFamily="34" charset="0"/>
              <a:cs typeface="Times New Roman" pitchFamily="18" charset="0"/>
            </a:rPr>
            <a:t>Февраль 2014 года</a:t>
          </a:r>
          <a:endParaRPr lang="ru-RU" sz="1000" b="1" dirty="0">
            <a:latin typeface="Calibri" pitchFamily="34" charset="0"/>
            <a:cs typeface="Times New Roman" pitchFamily="18" charset="0"/>
          </a:endParaRP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3.30667E-7</cdr:x>
      <cdr:y>1.11132E-6</cdr:y>
    </cdr:from>
    <cdr:to>
      <cdr:x>0.2038</cdr:x>
      <cdr:y>0.11973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1" y="2"/>
          <a:ext cx="616318" cy="2154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0.44999</cdr:x>
      <cdr:y>0.85158</cdr:y>
    </cdr:from>
    <cdr:to>
      <cdr:x>1</cdr:x>
      <cdr:y>1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95846" y="1513433"/>
          <a:ext cx="1583879" cy="2462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lvl1pPr marL="0" indent="0">
            <a:defRPr sz="1100">
              <a:latin typeface="Arial"/>
            </a:defRPr>
          </a:lvl1pPr>
          <a:lvl2pPr marL="457200" indent="0">
            <a:defRPr sz="1100">
              <a:latin typeface="Arial"/>
            </a:defRPr>
          </a:lvl2pPr>
          <a:lvl3pPr marL="914400" indent="0">
            <a:defRPr sz="1100">
              <a:latin typeface="Arial"/>
            </a:defRPr>
          </a:lvl3pPr>
          <a:lvl4pPr marL="1371600" indent="0">
            <a:defRPr sz="1100">
              <a:latin typeface="Arial"/>
            </a:defRPr>
          </a:lvl4pPr>
          <a:lvl5pPr marL="1828800" indent="0">
            <a:defRPr sz="1100">
              <a:latin typeface="Arial"/>
            </a:defRPr>
          </a:lvl5pPr>
          <a:lvl6pPr marL="2286000" indent="0">
            <a:defRPr sz="1100">
              <a:latin typeface="Arial"/>
            </a:defRPr>
          </a:lvl6pPr>
          <a:lvl7pPr marL="2743200" indent="0">
            <a:defRPr sz="1100">
              <a:latin typeface="Arial"/>
            </a:defRPr>
          </a:lvl7pPr>
          <a:lvl8pPr marL="3200400" indent="0">
            <a:defRPr sz="1100">
              <a:latin typeface="Arial"/>
            </a:defRPr>
          </a:lvl8pPr>
          <a:lvl9pPr marL="3657600" indent="0">
            <a:defRPr sz="1100">
              <a:latin typeface="Arial"/>
            </a:defRPr>
          </a:lvl9pPr>
        </a:lstStyle>
        <a:p xmlns:a="http://schemas.openxmlformats.org/drawingml/2006/main">
          <a:pPr algn="r">
            <a:defRPr/>
          </a:pPr>
          <a:r>
            <a:rPr lang="ru-RU" sz="1000" b="1" dirty="0" smtClean="0">
              <a:latin typeface="Calibri" pitchFamily="34" charset="0"/>
              <a:cs typeface="Times New Roman" pitchFamily="18" charset="0"/>
            </a:rPr>
            <a:t>Март 2014года</a:t>
          </a:r>
          <a:endParaRPr lang="ru-RU" sz="1000" b="1" dirty="0">
            <a:latin typeface="Calibri" pitchFamily="34" charset="0"/>
            <a:cs typeface="Times New Roman" pitchFamily="18" charset="0"/>
          </a:endParaRP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0.16731</cdr:x>
      <cdr:y>5.78639E-7</cdr:y>
    </cdr:from>
    <cdr:to>
      <cdr:x>0.37676</cdr:x>
      <cdr:y>0.125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18049" y="1"/>
          <a:ext cx="648545" cy="216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0.73932</cdr:x>
      <cdr:y>0</cdr:y>
    </cdr:from>
    <cdr:to>
      <cdr:x>0.93646</cdr:x>
      <cdr:y>0.11538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448272" y="0"/>
          <a:ext cx="652834" cy="2160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0.73932</cdr:x>
      <cdr:y>0</cdr:y>
    </cdr:from>
    <cdr:to>
      <cdr:x>0.93646</cdr:x>
      <cdr:y>0.11538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448272" y="0"/>
          <a:ext cx="652834" cy="2160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0.73932</cdr:x>
      <cdr:y>0</cdr:y>
    </cdr:from>
    <cdr:to>
      <cdr:x>0.93502</cdr:x>
      <cdr:y>0.11454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448272" y="0"/>
          <a:ext cx="648072" cy="2144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0.82202</cdr:x>
      <cdr:y>0</cdr:y>
    </cdr:from>
    <cdr:to>
      <cdr:x>0.97752</cdr:x>
      <cdr:y>0.09478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663427" y="0"/>
          <a:ext cx="503822" cy="1706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0.73331</cdr:x>
      <cdr:y>0</cdr:y>
    </cdr:from>
    <cdr:to>
      <cdr:x>0.95224</cdr:x>
      <cdr:y>0.13066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375991" y="-1116"/>
          <a:ext cx="709352" cy="22443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21.xml><?xml version="1.0" encoding="utf-8"?>
<c:userShapes xmlns:c="http://schemas.openxmlformats.org/drawingml/2006/chart">
  <cdr:relSizeAnchor xmlns:cdr="http://schemas.openxmlformats.org/drawingml/2006/chartDrawing">
    <cdr:from>
      <cdr:x>3.22871E-7</cdr:x>
      <cdr:y>1.98557E-6</cdr:y>
    </cdr:from>
    <cdr:to>
      <cdr:x>0.23208</cdr:x>
      <cdr:y>0.11893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1" y="4"/>
          <a:ext cx="718789" cy="23957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0.54857</cdr:x>
      <cdr:y>0.86845</cdr:y>
    </cdr:from>
    <cdr:to>
      <cdr:x>1</cdr:x>
      <cdr:y>1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6035" y="1799356"/>
          <a:ext cx="1333676" cy="2462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defPPr>
            <a:defRPr lang="en-US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  <a:cs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  <a:cs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  <a:cs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  <a:cs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  <a:cs typeface="Arial" charset="0"/>
            </a:defRPr>
          </a:lvl5pPr>
          <a:lvl6pPr marL="22860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  <a:cs typeface="Arial" charset="0"/>
            </a:defRPr>
          </a:lvl6pPr>
          <a:lvl7pPr marL="27432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  <a:cs typeface="Arial" charset="0"/>
            </a:defRPr>
          </a:lvl7pPr>
          <a:lvl8pPr marL="32004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  <a:cs typeface="Arial" charset="0"/>
            </a:defRPr>
          </a:lvl8pPr>
          <a:lvl9pPr marL="36576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  <a:cs typeface="Arial" charset="0"/>
            </a:defRPr>
          </a:lvl9pPr>
        </a:lstStyle>
        <a:p xmlns:a="http://schemas.openxmlformats.org/drawingml/2006/main">
          <a:pPr algn="r">
            <a:defRPr/>
          </a:pPr>
          <a:r>
            <a:rPr lang="ru-RU" sz="1000" b="1" dirty="0" smtClean="0">
              <a:latin typeface="Calibri" pitchFamily="34" charset="0"/>
              <a:cs typeface="Times New Roman" pitchFamily="18" charset="0"/>
            </a:rPr>
            <a:t>Февраль 2014 года</a:t>
          </a:r>
          <a:endParaRPr lang="ru-RU" sz="1000" b="1" dirty="0">
            <a:latin typeface="Calibri" pitchFamily="34" charset="0"/>
            <a:cs typeface="Times New Roman" pitchFamily="18" charset="0"/>
          </a:endParaRPr>
        </a:p>
      </cdr:txBody>
    </cdr:sp>
  </cdr:relSizeAnchor>
</c:userShapes>
</file>

<file path=word/drawings/drawing2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0.23216</cdr:x>
      <cdr:y>0.11893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0" y="0"/>
          <a:ext cx="719063" cy="2395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0.5476</cdr:x>
      <cdr:y>0.86845</cdr:y>
    </cdr:from>
    <cdr:to>
      <cdr:x>1</cdr:x>
      <cdr:y>1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27175" y="1871364"/>
          <a:ext cx="1367433" cy="2462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lvl1pPr marL="0" indent="0">
            <a:defRPr sz="1100">
              <a:latin typeface="Arial"/>
            </a:defRPr>
          </a:lvl1pPr>
          <a:lvl2pPr marL="457200" indent="0">
            <a:defRPr sz="1100">
              <a:latin typeface="Arial"/>
            </a:defRPr>
          </a:lvl2pPr>
          <a:lvl3pPr marL="914400" indent="0">
            <a:defRPr sz="1100">
              <a:latin typeface="Arial"/>
            </a:defRPr>
          </a:lvl3pPr>
          <a:lvl4pPr marL="1371600" indent="0">
            <a:defRPr sz="1100">
              <a:latin typeface="Arial"/>
            </a:defRPr>
          </a:lvl4pPr>
          <a:lvl5pPr marL="1828800" indent="0">
            <a:defRPr sz="1100">
              <a:latin typeface="Arial"/>
            </a:defRPr>
          </a:lvl5pPr>
          <a:lvl6pPr marL="2286000" indent="0">
            <a:defRPr sz="1100">
              <a:latin typeface="Arial"/>
            </a:defRPr>
          </a:lvl6pPr>
          <a:lvl7pPr marL="2743200" indent="0">
            <a:defRPr sz="1100">
              <a:latin typeface="Arial"/>
            </a:defRPr>
          </a:lvl7pPr>
          <a:lvl8pPr marL="3200400" indent="0">
            <a:defRPr sz="1100">
              <a:latin typeface="Arial"/>
            </a:defRPr>
          </a:lvl8pPr>
          <a:lvl9pPr marL="3657600" indent="0">
            <a:defRPr sz="1100">
              <a:latin typeface="Arial"/>
            </a:defRPr>
          </a:lvl9pPr>
        </a:lstStyle>
        <a:p xmlns:a="http://schemas.openxmlformats.org/drawingml/2006/main">
          <a:pPr algn="r">
            <a:defRPr/>
          </a:pPr>
          <a:r>
            <a:rPr lang="ru-RU" sz="1000" b="1" dirty="0" smtClean="0">
              <a:latin typeface="Calibri" pitchFamily="34" charset="0"/>
              <a:cs typeface="Times New Roman" pitchFamily="18" charset="0"/>
            </a:rPr>
            <a:t>Март 2014 </a:t>
          </a:r>
          <a:r>
            <a:rPr lang="ru-RU" sz="1000" b="1" dirty="0">
              <a:latin typeface="Calibri" pitchFamily="34" charset="0"/>
              <a:cs typeface="Times New Roman" pitchFamily="18" charset="0"/>
            </a:rPr>
            <a:t>года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0.74961</cdr:x>
      <cdr:y>0</cdr:y>
    </cdr:from>
    <cdr:to>
      <cdr:x>0.94739</cdr:x>
      <cdr:y>0.11515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375252" y="0"/>
          <a:ext cx="626695" cy="2157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3.38849E-7</cdr:x>
      <cdr:y>0</cdr:y>
    </cdr:from>
    <cdr:to>
      <cdr:x>0.21936</cdr:x>
      <cdr:y>0.12167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1" y="0"/>
          <a:ext cx="647366" cy="21903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0.56115</cdr:x>
      <cdr:y>0.85771</cdr:y>
    </cdr:from>
    <cdr:to>
      <cdr:x>1</cdr:x>
      <cdr:y>1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6035" y="1484154"/>
          <a:ext cx="1295127" cy="2462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defPPr>
            <a:defRPr lang="en-US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rgbClr val="000000"/>
              </a:solidFill>
              <a:latin typeface="Arial" charset="0"/>
            </a:defRPr>
          </a:lvl5pPr>
          <a:lvl6pPr marL="22860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6pPr>
          <a:lvl7pPr marL="27432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7pPr>
          <a:lvl8pPr marL="32004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8pPr>
          <a:lvl9pPr marL="3657600" algn="l" defTabSz="914400" rtl="0" eaLnBrk="1" latinLnBrk="0" hangingPunct="1">
            <a:defRPr kern="1200">
              <a:solidFill>
                <a:srgbClr val="000000"/>
              </a:solidFill>
              <a:latin typeface="Arial" charset="0"/>
            </a:defRPr>
          </a:lvl9pPr>
        </a:lstStyle>
        <a:p xmlns:a="http://schemas.openxmlformats.org/drawingml/2006/main">
          <a:pPr algn="r">
            <a:defRPr/>
          </a:pPr>
          <a:r>
            <a:rPr lang="ru-RU" sz="1000" b="1" dirty="0" smtClean="0">
              <a:latin typeface="Calibri" pitchFamily="34" charset="0"/>
              <a:cs typeface="Times New Roman" pitchFamily="18" charset="0"/>
            </a:rPr>
            <a:t>Февраль 2014 года</a:t>
          </a:r>
          <a:endParaRPr lang="ru-RU" sz="1000" b="1" dirty="0">
            <a:latin typeface="Calibri" pitchFamily="34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3.30667E-7</cdr:x>
      <cdr:y>1.11097E-6</cdr:y>
    </cdr:from>
    <cdr:to>
      <cdr:x>0.2038</cdr:x>
      <cdr:y>0.11973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1" y="2"/>
          <a:ext cx="616329" cy="2155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0.58548</cdr:x>
      <cdr:y>0.86335</cdr:y>
    </cdr:from>
    <cdr:to>
      <cdr:x>1</cdr:x>
      <cdr:y>1</cdr:y>
    </cdr:to>
    <cdr:sp macro="" textlink="">
      <cdr:nvSpPr>
        <cdr:cNvPr id="3" name="Прямоугольник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28762" y="1656854"/>
          <a:ext cx="1223987" cy="2462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lvl1pPr marL="0" indent="0">
            <a:defRPr sz="1100">
              <a:latin typeface="Arial"/>
            </a:defRPr>
          </a:lvl1pPr>
          <a:lvl2pPr marL="457200" indent="0">
            <a:defRPr sz="1100">
              <a:latin typeface="Arial"/>
            </a:defRPr>
          </a:lvl2pPr>
          <a:lvl3pPr marL="914400" indent="0">
            <a:defRPr sz="1100">
              <a:latin typeface="Arial"/>
            </a:defRPr>
          </a:lvl3pPr>
          <a:lvl4pPr marL="1371600" indent="0">
            <a:defRPr sz="1100">
              <a:latin typeface="Arial"/>
            </a:defRPr>
          </a:lvl4pPr>
          <a:lvl5pPr marL="1828800" indent="0">
            <a:defRPr sz="1100">
              <a:latin typeface="Arial"/>
            </a:defRPr>
          </a:lvl5pPr>
          <a:lvl6pPr marL="2286000" indent="0">
            <a:defRPr sz="1100">
              <a:latin typeface="Arial"/>
            </a:defRPr>
          </a:lvl6pPr>
          <a:lvl7pPr marL="2743200" indent="0">
            <a:defRPr sz="1100">
              <a:latin typeface="Arial"/>
            </a:defRPr>
          </a:lvl7pPr>
          <a:lvl8pPr marL="3200400" indent="0">
            <a:defRPr sz="1100">
              <a:latin typeface="Arial"/>
            </a:defRPr>
          </a:lvl8pPr>
          <a:lvl9pPr marL="3657600" indent="0">
            <a:defRPr sz="1100">
              <a:latin typeface="Arial"/>
            </a:defRPr>
          </a:lvl9pPr>
        </a:lstStyle>
        <a:p xmlns:a="http://schemas.openxmlformats.org/drawingml/2006/main">
          <a:pPr algn="r">
            <a:defRPr/>
          </a:pPr>
          <a:r>
            <a:rPr lang="ru-RU" sz="1000" b="1" dirty="0" smtClean="0">
              <a:latin typeface="Calibri" pitchFamily="34" charset="0"/>
              <a:cs typeface="Times New Roman" pitchFamily="18" charset="0"/>
            </a:rPr>
            <a:t>Март 2014 года</a:t>
          </a:r>
          <a:endParaRPr lang="ru-RU" sz="1000" b="1" dirty="0">
            <a:latin typeface="Calibri" pitchFamily="34" charset="0"/>
            <a:cs typeface="Times New Roman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0.16731</cdr:x>
      <cdr:y>5.7844E-7</cdr:y>
    </cdr:from>
    <cdr:to>
      <cdr:x>0.34884</cdr:x>
      <cdr:y>0.10833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18195" y="1"/>
          <a:ext cx="562223" cy="18728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0.73932</cdr:x>
      <cdr:y>0</cdr:y>
    </cdr:from>
    <cdr:to>
      <cdr:x>0.93646</cdr:x>
      <cdr:y>0.11538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448272" y="0"/>
          <a:ext cx="652834" cy="2160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0.73932</cdr:x>
      <cdr:y>0</cdr:y>
    </cdr:from>
    <cdr:to>
      <cdr:x>0.93646</cdr:x>
      <cdr:y>0.11538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448272" y="0"/>
          <a:ext cx="652834" cy="2160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0.73932</cdr:x>
      <cdr:y>0</cdr:y>
    </cdr:from>
    <cdr:to>
      <cdr:x>0.93502</cdr:x>
      <cdr:y>0.11454</cdr:y>
    </cdr:to>
    <cdr:pic>
      <cdr:nvPicPr>
        <cdr:cNvPr id="2" name="Picture 6" descr="бн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448272" y="0"/>
          <a:ext cx="648072" cy="2144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Бюллетень Недвижимости, ООО</Company>
  <LinksUpToDate>false</LinksUpToDate>
  <CharactersWithSpaces>7401</CharactersWithSpaces>
  <SharedDoc>false</SharedDoc>
  <HLinks>
    <vt:vector size="6" baseType="variant">
      <vt:variant>
        <vt:i4>3801099</vt:i4>
      </vt:variant>
      <vt:variant>
        <vt:i4>0</vt:i4>
      </vt:variant>
      <vt:variant>
        <vt:i4>0</vt:i4>
      </vt:variant>
      <vt:variant>
        <vt:i4>5</vt:i4>
      </vt:variant>
      <vt:variant>
        <vt:lpwstr>mailto:analitika@bn.ru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mbent</cp:lastModifiedBy>
  <cp:revision>3</cp:revision>
  <dcterms:created xsi:type="dcterms:W3CDTF">2014-04-09T14:25:00Z</dcterms:created>
  <dcterms:modified xsi:type="dcterms:W3CDTF">2014-04-09T14:34:00Z</dcterms:modified>
</cp:coreProperties>
</file>