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E" w:rsidRPr="00003A3A" w:rsidRDefault="004F06CE" w:rsidP="002F2DCE">
      <w:pPr>
        <w:rPr>
          <w:rFonts w:asciiTheme="minorHAnsi" w:hAnsiTheme="minorHAnsi"/>
          <w:color w:val="333333"/>
          <w:sz w:val="28"/>
          <w:szCs w:val="28"/>
        </w:rPr>
      </w:pPr>
      <w:r w:rsidRPr="00003A3A">
        <w:rPr>
          <w:rFonts w:asciiTheme="minorHAnsi" w:hAnsiTheme="minorHAnsi"/>
          <w:b/>
          <w:bCs/>
          <w:color w:val="333333"/>
          <w:sz w:val="28"/>
          <w:szCs w:val="28"/>
        </w:rPr>
        <w:t>Общие тенденции на р</w:t>
      </w:r>
      <w:r w:rsidR="00E06B77" w:rsidRPr="00003A3A">
        <w:rPr>
          <w:rFonts w:asciiTheme="minorHAnsi" w:hAnsiTheme="minorHAnsi"/>
          <w:b/>
          <w:bCs/>
          <w:color w:val="333333"/>
          <w:sz w:val="28"/>
          <w:szCs w:val="28"/>
        </w:rPr>
        <w:t>ынк</w:t>
      </w:r>
      <w:r w:rsidRPr="00003A3A">
        <w:rPr>
          <w:rFonts w:asciiTheme="minorHAnsi" w:hAnsiTheme="minorHAnsi"/>
          <w:b/>
          <w:bCs/>
          <w:color w:val="333333"/>
          <w:sz w:val="28"/>
          <w:szCs w:val="28"/>
        </w:rPr>
        <w:t>е</w:t>
      </w:r>
      <w:r w:rsidR="002216E0" w:rsidRPr="00003A3A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3A5C37" w:rsidRPr="00003A3A">
        <w:rPr>
          <w:rFonts w:asciiTheme="minorHAnsi" w:hAnsiTheme="minorHAnsi"/>
          <w:b/>
          <w:bCs/>
          <w:color w:val="333333"/>
          <w:sz w:val="28"/>
          <w:szCs w:val="28"/>
        </w:rPr>
        <w:t>продажи</w:t>
      </w:r>
      <w:r w:rsidR="002216E0" w:rsidRPr="00003A3A">
        <w:rPr>
          <w:rFonts w:asciiTheme="minorHAnsi" w:hAnsiTheme="minorHAnsi"/>
          <w:b/>
          <w:bCs/>
          <w:color w:val="333333"/>
          <w:sz w:val="28"/>
          <w:szCs w:val="28"/>
        </w:rPr>
        <w:t xml:space="preserve"> коммерческой недвижимости </w:t>
      </w:r>
      <w:r w:rsidRPr="00003A3A">
        <w:rPr>
          <w:rFonts w:asciiTheme="minorHAnsi" w:hAnsiTheme="minorHAnsi"/>
          <w:b/>
          <w:bCs/>
          <w:color w:val="333333"/>
          <w:sz w:val="28"/>
          <w:szCs w:val="28"/>
        </w:rPr>
        <w:t>Санкт-Петербурга</w:t>
      </w:r>
      <w:r w:rsidR="002F2DCE" w:rsidRPr="00003A3A">
        <w:rPr>
          <w:rFonts w:asciiTheme="minorHAnsi" w:hAnsiTheme="minorHAnsi"/>
          <w:b/>
          <w:bCs/>
          <w:color w:val="333333"/>
          <w:sz w:val="28"/>
          <w:szCs w:val="28"/>
        </w:rPr>
        <w:t xml:space="preserve">. </w:t>
      </w:r>
      <w:proofErr w:type="gramStart"/>
      <w:r w:rsidR="002216E0" w:rsidRPr="00003A3A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I</w:t>
      </w:r>
      <w:r w:rsidR="00003A3A" w:rsidRPr="00003A3A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V</w:t>
      </w:r>
      <w:r w:rsidR="002216E0" w:rsidRPr="00003A3A">
        <w:rPr>
          <w:rFonts w:asciiTheme="minorHAnsi" w:hAnsiTheme="minorHAnsi"/>
          <w:b/>
          <w:bCs/>
          <w:color w:val="333333"/>
          <w:sz w:val="28"/>
          <w:szCs w:val="28"/>
        </w:rPr>
        <w:t xml:space="preserve"> квартал</w:t>
      </w:r>
      <w:r w:rsidR="002F2DCE" w:rsidRPr="00003A3A">
        <w:rPr>
          <w:rFonts w:asciiTheme="minorHAnsi" w:hAnsiTheme="minorHAnsi"/>
          <w:b/>
          <w:bCs/>
          <w:color w:val="333333"/>
          <w:sz w:val="28"/>
          <w:szCs w:val="28"/>
        </w:rPr>
        <w:t xml:space="preserve"> 201</w:t>
      </w:r>
      <w:r w:rsidR="00217B1F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4</w:t>
      </w:r>
      <w:r w:rsidR="002F2DCE" w:rsidRPr="00003A3A">
        <w:rPr>
          <w:rFonts w:asciiTheme="minorHAnsi" w:hAnsiTheme="minorHAnsi"/>
          <w:b/>
          <w:bCs/>
          <w:color w:val="333333"/>
          <w:sz w:val="28"/>
          <w:szCs w:val="28"/>
        </w:rPr>
        <w:t xml:space="preserve"> года.</w:t>
      </w:r>
      <w:proofErr w:type="gramEnd"/>
    </w:p>
    <w:p w:rsidR="003B7C2F" w:rsidRPr="00003A3A" w:rsidRDefault="002F2DCE" w:rsidP="003B7C2F">
      <w:pPr>
        <w:rPr>
          <w:rFonts w:asciiTheme="minorHAnsi" w:hAnsiTheme="minorHAnsi"/>
          <w:sz w:val="24"/>
          <w:szCs w:val="24"/>
        </w:rPr>
      </w:pPr>
      <w:r w:rsidRPr="00003A3A">
        <w:rPr>
          <w:rFonts w:asciiTheme="minorHAnsi" w:hAnsiTheme="minorHAnsi"/>
          <w:sz w:val="24"/>
          <w:szCs w:val="24"/>
        </w:rPr>
        <w:t xml:space="preserve">(Мария </w:t>
      </w:r>
      <w:proofErr w:type="spellStart"/>
      <w:r w:rsidRPr="00003A3A">
        <w:rPr>
          <w:rFonts w:asciiTheme="minorHAnsi" w:hAnsiTheme="minorHAnsi"/>
          <w:sz w:val="24"/>
          <w:szCs w:val="24"/>
        </w:rPr>
        <w:t>Бент</w:t>
      </w:r>
      <w:proofErr w:type="spellEnd"/>
      <w:r w:rsidRPr="00003A3A">
        <w:rPr>
          <w:rFonts w:asciiTheme="minorHAnsi" w:hAnsiTheme="minorHAnsi"/>
          <w:sz w:val="24"/>
          <w:szCs w:val="24"/>
        </w:rPr>
        <w:t>, САРН, Групп</w:t>
      </w:r>
      <w:r w:rsidR="002567A3" w:rsidRPr="00003A3A">
        <w:rPr>
          <w:rFonts w:asciiTheme="minorHAnsi" w:hAnsiTheme="minorHAnsi"/>
          <w:sz w:val="24"/>
          <w:szCs w:val="24"/>
        </w:rPr>
        <w:t>а</w:t>
      </w:r>
      <w:r w:rsidRPr="00003A3A">
        <w:rPr>
          <w:rFonts w:asciiTheme="minorHAnsi" w:hAnsiTheme="minorHAnsi"/>
          <w:sz w:val="24"/>
          <w:szCs w:val="24"/>
        </w:rPr>
        <w:t xml:space="preserve"> компаний "Бюллетень Недвижимости")</w:t>
      </w:r>
    </w:p>
    <w:p w:rsidR="002F2DCE" w:rsidRPr="00003A3A" w:rsidRDefault="002F2DCE" w:rsidP="003B7C2F">
      <w:pPr>
        <w:rPr>
          <w:rFonts w:asciiTheme="minorHAnsi" w:hAnsiTheme="minorHAnsi"/>
          <w:sz w:val="24"/>
          <w:szCs w:val="24"/>
        </w:rPr>
      </w:pPr>
      <w:r w:rsidRPr="00003A3A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3B7C2F" w:rsidRPr="00003A3A">
        <w:rPr>
          <w:rFonts w:asciiTheme="minorHAnsi" w:hAnsiTheme="minorHAnsi"/>
          <w:sz w:val="24"/>
          <w:szCs w:val="24"/>
        </w:rPr>
        <w:t>____________________</w:t>
      </w:r>
    </w:p>
    <w:p w:rsidR="000238F4" w:rsidRPr="000238F4" w:rsidRDefault="000238F4" w:rsidP="000238F4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bookmarkStart w:id="0" w:name="OLE_LINK5"/>
      <w:r w:rsidRPr="000238F4">
        <w:rPr>
          <w:rFonts w:asciiTheme="minorHAnsi" w:eastAsia="+mn-ea" w:hAnsiTheme="minorHAnsi"/>
          <w:noProof/>
          <w:sz w:val="24"/>
          <w:szCs w:val="24"/>
        </w:rPr>
        <w:t xml:space="preserve">Объем предложения коммерческих помещений, выставленных на продажу в IV квартале 2014 года, составил 1,6 тысячи адресов, которые были заявлены в рекламу в листингах каталога.  </w:t>
      </w:r>
    </w:p>
    <w:p w:rsidR="00273DF1" w:rsidRPr="00003A3A" w:rsidRDefault="00273DF1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D10C0B" w:rsidRPr="00003A3A" w:rsidRDefault="00D10C0B" w:rsidP="00D10C0B">
      <w:pPr>
        <w:pStyle w:val="Tabledate"/>
        <w:jc w:val="left"/>
        <w:rPr>
          <w:rFonts w:asciiTheme="minorHAnsi" w:eastAsia="+mn-ea" w:hAnsiTheme="minorHAnsi" w:cs="Times New Roman"/>
          <w:i/>
          <w:iCs/>
          <w:noProof/>
          <w:sz w:val="20"/>
          <w:szCs w:val="20"/>
        </w:rPr>
      </w:pPr>
      <w:r w:rsidRPr="00003A3A">
        <w:rPr>
          <w:rFonts w:asciiTheme="minorHAnsi" w:eastAsia="+mn-ea" w:hAnsiTheme="minorHAnsi" w:cs="Times New Roman"/>
          <w:i/>
          <w:iCs/>
          <w:noProof/>
          <w:sz w:val="20"/>
          <w:szCs w:val="20"/>
        </w:rPr>
        <w:t>Объем предложения</w:t>
      </w:r>
    </w:p>
    <w:p w:rsidR="00D10C0B" w:rsidRPr="00003A3A" w:rsidRDefault="000238F4" w:rsidP="00D10C0B">
      <w:pPr>
        <w:pStyle w:val="Tabledate"/>
        <w:jc w:val="left"/>
        <w:rPr>
          <w:rFonts w:asciiTheme="minorHAnsi" w:hAnsiTheme="minorHAnsi" w:cs="Times New Roman"/>
          <w:noProof/>
          <w:sz w:val="24"/>
          <w:szCs w:val="24"/>
        </w:rPr>
      </w:pPr>
      <w:r w:rsidRPr="000238F4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6152515" cy="2002790"/>
            <wp:effectExtent l="19050" t="0" r="1968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0C0B" w:rsidRPr="00003A3A" w:rsidRDefault="00D10C0B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0238F4" w:rsidRPr="000238F4" w:rsidRDefault="000238F4" w:rsidP="000238F4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0238F4">
        <w:rPr>
          <w:rFonts w:asciiTheme="minorHAnsi" w:eastAsia="+mn-ea" w:hAnsiTheme="minorHAnsi"/>
          <w:noProof/>
          <w:sz w:val="24"/>
          <w:szCs w:val="24"/>
        </w:rPr>
        <w:t>В структуре предложения преобладают помещения различного назначения (как правило – это объекты, назначение которых не конкретизировано и они могут быть использованы как под офис, так и под торговлю либо сферу услуг), что составляет 43,5%. Офисные помещения занимают долю в размере 19,1%, помещения, предназначенные для сферы услуг, – 21%. Доля площадей, подготовленных под торговые цели, составляет 6,4% от общего объема.</w:t>
      </w:r>
      <w:proofErr w:type="gramEnd"/>
      <w:r w:rsidRPr="000238F4">
        <w:rPr>
          <w:rFonts w:asciiTheme="minorHAnsi" w:eastAsia="+mn-ea" w:hAnsiTheme="minorHAnsi"/>
          <w:noProof/>
          <w:sz w:val="24"/>
          <w:szCs w:val="24"/>
        </w:rPr>
        <w:t xml:space="preserve"> Минимальный процент от общего объема занимают здания, участки, объекты, предназначенные под производство, и складские помещения. </w:t>
      </w:r>
    </w:p>
    <w:p w:rsidR="00D10C0B" w:rsidRPr="00003A3A" w:rsidRDefault="00D10C0B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D10C0B" w:rsidRPr="00003A3A" w:rsidRDefault="00D10C0B" w:rsidP="00D10C0B">
      <w:pPr>
        <w:pStyle w:val="Tabledate"/>
        <w:jc w:val="left"/>
        <w:rPr>
          <w:rFonts w:asciiTheme="minorHAnsi" w:hAnsiTheme="minorHAnsi" w:cs="Times New Roman"/>
          <w:noProof/>
          <w:sz w:val="20"/>
          <w:szCs w:val="20"/>
        </w:rPr>
      </w:pPr>
      <w:r w:rsidRPr="00003A3A">
        <w:rPr>
          <w:rFonts w:asciiTheme="minorHAnsi" w:eastAsia="+mn-ea" w:hAnsiTheme="minorHAnsi" w:cs="Times New Roman"/>
          <w:i/>
          <w:iCs/>
          <w:noProof/>
          <w:sz w:val="20"/>
          <w:szCs w:val="20"/>
        </w:rPr>
        <w:t>Структура предложения, % от общего объема</w:t>
      </w:r>
    </w:p>
    <w:p w:rsidR="00D10C0B" w:rsidRPr="00003A3A" w:rsidRDefault="000238F4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0238F4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6048375" cy="2016125"/>
            <wp:effectExtent l="19050" t="19050" r="9525" b="3175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0238F4" w:rsidRPr="000238F4" w:rsidRDefault="000238F4" w:rsidP="000238F4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0238F4">
        <w:rPr>
          <w:rFonts w:asciiTheme="minorHAnsi" w:eastAsia="+mn-ea" w:hAnsiTheme="minorHAnsi"/>
          <w:noProof/>
          <w:sz w:val="24"/>
          <w:szCs w:val="24"/>
        </w:rPr>
        <w:t xml:space="preserve">В структуре предложения помещений различного назначения по районам лидирующие позиции занимают Центральный и Приморский районы и в сумме составляют 34,4% от всего предложения по данному сегменту. </w:t>
      </w:r>
      <w:proofErr w:type="gramStart"/>
      <w:r w:rsidRPr="000238F4">
        <w:rPr>
          <w:rFonts w:asciiTheme="minorHAnsi" w:eastAsia="+mn-ea" w:hAnsiTheme="minorHAnsi"/>
          <w:noProof/>
          <w:sz w:val="24"/>
          <w:szCs w:val="24"/>
        </w:rPr>
        <w:t>Основной объем офисных помещений на рынке аренды расположен в центральных районах (Адмиралтейском, Василеостровском, Петроградском и Центральном) – они в сумме составляют 66,7%. Максимальная доля объектов сферы услуг, предлагаемых в аренду, расположена в Центральном, Невском и Адмиралтейском районах Петербурга, что в сумме составляет 44,4%. Помещения, предлагаемые под торговлю, в основной массе находятся в Выборгском, Фрунзенском и Центральном районах Петербурга – 17%, 12,8% и</w:t>
      </w:r>
      <w:proofErr w:type="gramEnd"/>
      <w:r w:rsidRPr="000238F4">
        <w:rPr>
          <w:rFonts w:asciiTheme="minorHAnsi" w:eastAsia="+mn-ea" w:hAnsiTheme="minorHAnsi"/>
          <w:noProof/>
          <w:sz w:val="24"/>
          <w:szCs w:val="24"/>
        </w:rPr>
        <w:t xml:space="preserve"> 15,8% соответственно. </w:t>
      </w:r>
    </w:p>
    <w:p w:rsidR="000238F4" w:rsidRPr="000238F4" w:rsidRDefault="000238F4" w:rsidP="000238F4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0238F4">
        <w:rPr>
          <w:rFonts w:asciiTheme="minorHAnsi" w:eastAsia="+mn-ea" w:hAnsiTheme="minorHAnsi"/>
          <w:noProof/>
          <w:sz w:val="24"/>
          <w:szCs w:val="24"/>
        </w:rPr>
        <w:lastRenderedPageBreak/>
        <w:t>Объекты, предназначенные под производство и склады, в основной массе предложения находятся в Красногвардейском, Московском, Невском и Фрунзенском районах (без учета пригородов и Ленобласти).</w:t>
      </w:r>
    </w:p>
    <w:p w:rsidR="0049427F" w:rsidRPr="00003A3A" w:rsidRDefault="0049427F" w:rsidP="0049427F">
      <w:pPr>
        <w:pStyle w:val="Tabledate"/>
        <w:rPr>
          <w:rFonts w:asciiTheme="minorHAnsi" w:eastAsia="+mn-ea" w:hAnsiTheme="minorHAnsi"/>
          <w:i/>
          <w:iCs/>
          <w:noProof/>
          <w:sz w:val="24"/>
          <w:szCs w:val="24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t>Структура предложения по районам, % от общего объема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0238F4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  <w:r w:rsidRPr="000238F4">
        <w:rPr>
          <w:rFonts w:asciiTheme="minorHAnsi" w:eastAsia="+mn-ea" w:hAnsiTheme="minorHAnsi" w:cs="Times New Roman"/>
          <w:noProof/>
          <w:sz w:val="24"/>
          <w:szCs w:val="24"/>
        </w:rPr>
        <w:lastRenderedPageBreak/>
        <w:drawing>
          <wp:inline distT="0" distB="0" distL="0" distR="0">
            <wp:extent cx="3167856" cy="2016422"/>
            <wp:effectExtent l="19050" t="0" r="13494" b="2878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238F4">
        <w:rPr>
          <w:rFonts w:asciiTheme="minorHAnsi" w:eastAsia="+mn-ea" w:hAnsiTheme="minorHAnsi" w:cs="Times New Roman"/>
          <w:noProof/>
          <w:sz w:val="24"/>
          <w:szCs w:val="24"/>
        </w:rPr>
        <w:drawing>
          <wp:inline distT="0" distB="0" distL="0" distR="0">
            <wp:extent cx="3167856" cy="2016422"/>
            <wp:effectExtent l="19050" t="0" r="13494" b="2878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сферы услуг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Торговые помещения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0238F4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  <w:r w:rsidRPr="000238F4">
        <w:rPr>
          <w:rFonts w:asciiTheme="minorHAnsi" w:eastAsia="+mn-ea" w:hAnsiTheme="minorHAnsi" w:cs="Times New Roman"/>
          <w:noProof/>
          <w:sz w:val="24"/>
          <w:szCs w:val="24"/>
        </w:rPr>
        <w:lastRenderedPageBreak/>
        <w:drawing>
          <wp:inline distT="0" distB="0" distL="0" distR="0">
            <wp:extent cx="3167856" cy="2016422"/>
            <wp:effectExtent l="19050" t="0" r="13494" b="2878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238F4">
        <w:rPr>
          <w:rFonts w:asciiTheme="minorHAnsi" w:eastAsia="+mn-ea" w:hAnsiTheme="minorHAnsi" w:cs="Times New Roman"/>
          <w:noProof/>
          <w:sz w:val="24"/>
          <w:szCs w:val="24"/>
        </w:rPr>
        <w:drawing>
          <wp:inline distT="0" distB="0" distL="0" distR="0">
            <wp:extent cx="3167856" cy="2016422"/>
            <wp:effectExtent l="19050" t="0" r="13494" b="2878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 xml:space="preserve">Максимальное количество предложений коммерческих помещений различного назначения, выставленных на продажу, зафиксировано в диапазоне от 40 до 159 кв. м общей площади, что составляет 63,7% от всего объема по указанному типу. </w:t>
      </w: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 xml:space="preserve">Площадь офисных помещений в основной массе от 40 до 119 кв. м, что в сумме занимает 53% соответственно от всего предложения в данном сегменте. </w:t>
      </w: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 xml:space="preserve">Максимальная доля предложения объектов сферы услуг находится в диапазоне общей площади от 40 до 119 кв. м, что составляет 49,5% от всего предложения. </w:t>
      </w: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 xml:space="preserve">Площадь продаваемых торговых помещений в основной массе находится в диапазоне от 40 до 80 кв. м, что занимает долю в размере 49,6% от предложения по данному сегменту. </w:t>
      </w:r>
    </w:p>
    <w:p w:rsidR="003B6309" w:rsidRDefault="003B6309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  <w:lang w:val="en-US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t>Диапазон площади (кв. м.), % от общего объема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003A3A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228975" cy="1695450"/>
            <wp:effectExtent l="19050" t="0" r="9525" b="0"/>
            <wp:docPr id="2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267075" cy="1743075"/>
            <wp:effectExtent l="19050" t="0" r="9525" b="0"/>
            <wp:docPr id="2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427F" w:rsidRPr="00003A3A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сферы услуг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Торговые помещения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003A3A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228975" cy="1676400"/>
            <wp:effectExtent l="19050" t="0" r="9525" b="0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267075" cy="1657350"/>
            <wp:effectExtent l="19050" t="0" r="9525" b="0"/>
            <wp:docPr id="2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427F" w:rsidRPr="00003A3A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3B6309">
        <w:rPr>
          <w:rFonts w:asciiTheme="minorHAnsi" w:eastAsia="+mn-ea" w:hAnsiTheme="minorHAnsi"/>
          <w:noProof/>
          <w:sz w:val="24"/>
          <w:szCs w:val="24"/>
        </w:rPr>
        <w:t xml:space="preserve">Средняя площадь коммерческих помещений (без учета зданий и производственно-складских объектов) в IV квартале 2014 года составила 157,5 кв. м. За рассматриваемый период изменений средней площади объектов практически не наблюдалось, в III квартале этого же года данный показатель был 160,5 кв. м. Минимальный показатель площади у офисных помещений – 130,8 кв. м, максимальный у объектов сферы услуг – 195,3 кв. м. </w:t>
      </w:r>
      <w:proofErr w:type="gramEnd"/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 xml:space="preserve">Средняя площадь объектов производственно-складского назначения на конец квартала составляет 871,5 кв. м (от 36 до 46 000 кв. м), отдельно стоящие здания в общей массе предлагаются в среднем площадью 1 084,4 кв. м (от 46 до 34 700 кв. м). </w:t>
      </w: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>За прошедший квартал минимальная площадь помещения, выставленного на продажу, – 3 кв. м, это встроенное помещение в новом доме на Ланском ш., 14 в Приморском районе.</w:t>
      </w:r>
    </w:p>
    <w:p w:rsidR="003B6309" w:rsidRPr="003B6309" w:rsidRDefault="003B6309" w:rsidP="003B6309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B6309">
        <w:rPr>
          <w:rFonts w:asciiTheme="minorHAnsi" w:eastAsia="+mn-ea" w:hAnsiTheme="minorHAnsi"/>
          <w:noProof/>
          <w:sz w:val="24"/>
          <w:szCs w:val="24"/>
        </w:rPr>
        <w:t xml:space="preserve">Максимальным по площади является промышленный комплекс, расположенный в Выборгском районе, во 2-м Верхнем пер., 4, общей площадью 45,8 тыс. кв. м. </w:t>
      </w:r>
    </w:p>
    <w:p w:rsidR="003B6309" w:rsidRDefault="003B6309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  <w:lang w:val="en-US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t>Средняя площадь, кв. м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003A3A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505" cy="1647825"/>
            <wp:effectExtent l="19050" t="0" r="23495" b="0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505" cy="1666875"/>
            <wp:effectExtent l="19050" t="0" r="23495" b="0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сферы услуг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Торговые помещения</w:t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003A3A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505" cy="1724025"/>
            <wp:effectExtent l="19050" t="0" r="23495" b="0"/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B6309" w:rsidRPr="003B6309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505" cy="1704975"/>
            <wp:effectExtent l="19050" t="0" r="23495" b="0"/>
            <wp:docPr id="3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B12874" w:rsidRPr="00B12874" w:rsidRDefault="00B12874" w:rsidP="00B12874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B12874">
        <w:rPr>
          <w:rFonts w:asciiTheme="minorHAnsi" w:eastAsia="+mn-ea" w:hAnsiTheme="minorHAnsi"/>
          <w:noProof/>
          <w:sz w:val="24"/>
          <w:szCs w:val="24"/>
        </w:rPr>
        <w:t xml:space="preserve">Самыми дорогими на рынке коммерческой недвижимости по стоимости квадратного метра являются торговые помещения и объекты сферы услуг, средняя цена продажи  на конец квартала составила 132 тыс. руб. за кв. м. Средняя цена предложения офисов – 115,9 руб. за кв. м, помещения различного назначения предлагались в среднем по 110,1 тыс. руб. за кв. м, в зависимости от месторасположения, площади и состояния. </w:t>
      </w:r>
      <w:proofErr w:type="gramEnd"/>
    </w:p>
    <w:p w:rsidR="00B12874" w:rsidRPr="00B12874" w:rsidRDefault="00B12874" w:rsidP="00B12874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B12874">
        <w:rPr>
          <w:rFonts w:asciiTheme="minorHAnsi" w:eastAsia="+mn-ea" w:hAnsiTheme="minorHAnsi"/>
          <w:noProof/>
          <w:sz w:val="24"/>
          <w:szCs w:val="24"/>
        </w:rPr>
        <w:t>Наибольший процент изменения за год показали помещения различного назначения, средняя цена предложения увеличилась на 6,5% (в I кв. 2014 года цена составляла 103,4 тыс. руб. за кв. м). Торговые и офисные помещения показали повышение арендной платы на 4,3% и 1,4% соответственно. Изменение на рынке аренды помещений сферы услуг составило минус 1,1%.</w:t>
      </w:r>
    </w:p>
    <w:p w:rsidR="00B12874" w:rsidRDefault="00B12874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  <w:lang w:val="en-US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t xml:space="preserve">Цена, руб./кв. м. в месяц 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B12874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12874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3024335" cy="1584175"/>
            <wp:effectExtent l="19050" t="0" r="23665" b="0"/>
            <wp:docPr id="3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9427F" w:rsidRPr="00003A3A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t xml:space="preserve"> </w:t>
      </w:r>
      <w:r w:rsidRPr="00B12874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505" cy="1676400"/>
            <wp:effectExtent l="19050" t="0" r="23495" b="0"/>
            <wp:docPr id="3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003A3A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сферы услуг</w:t>
      </w: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Торговые помещения</w:t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sectPr w:rsidR="0049427F" w:rsidRPr="00003A3A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003A3A" w:rsidRDefault="00B12874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12874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3024505" cy="1676400"/>
            <wp:effectExtent l="19050" t="0" r="23495" b="0"/>
            <wp:docPr id="3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9427F" w:rsidRPr="00003A3A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t xml:space="preserve"> </w:t>
      </w:r>
      <w:r w:rsidRPr="00B12874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505" cy="1704975"/>
            <wp:effectExtent l="19050" t="0" r="23495" b="0"/>
            <wp:docPr id="3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2507B8" w:rsidRPr="002507B8" w:rsidRDefault="002507B8" w:rsidP="002507B8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2507B8">
        <w:rPr>
          <w:rFonts w:asciiTheme="minorHAnsi" w:eastAsia="+mn-ea" w:hAnsiTheme="minorHAnsi"/>
          <w:noProof/>
          <w:sz w:val="24"/>
          <w:szCs w:val="24"/>
        </w:rPr>
        <w:t xml:space="preserve">По месторасположению офисных помещений самыми дорогими являются Центральный и Петроградский районы Петербурга, где средняя цена предложения составляет 124 тыс. руб. и 134 тыс. руб. за кв. м. Недорогое предложение офисов – в Выборгском и Красносельском районах – 82,8 тыс. руб. и 76,4 тыс. руб. за кв. м, в зависимости от месторасположения, площади и состояния. </w:t>
      </w:r>
      <w:proofErr w:type="gramEnd"/>
    </w:p>
    <w:p w:rsidR="002507B8" w:rsidRPr="002507B8" w:rsidRDefault="002507B8" w:rsidP="002507B8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2507B8">
        <w:rPr>
          <w:rFonts w:asciiTheme="minorHAnsi" w:eastAsia="+mn-ea" w:hAnsiTheme="minorHAnsi"/>
          <w:noProof/>
          <w:sz w:val="24"/>
          <w:szCs w:val="24"/>
        </w:rPr>
        <w:t>Дорогие торговые площади расположены в Центральном и Московском районах – от 130 тыс. до 145 тыс. руб. за кв. м. Недорогие по стоимости объекты находятся в Красносельском районе, цена предложения в среднем 97 тыс. руб. за кв. м.</w:t>
      </w:r>
    </w:p>
    <w:p w:rsidR="002507B8" w:rsidRPr="002507B8" w:rsidRDefault="002507B8" w:rsidP="002507B8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2507B8">
        <w:rPr>
          <w:rFonts w:asciiTheme="minorHAnsi" w:eastAsia="+mn-ea" w:hAnsiTheme="minorHAnsi"/>
          <w:noProof/>
          <w:sz w:val="24"/>
          <w:szCs w:val="24"/>
        </w:rPr>
        <w:lastRenderedPageBreak/>
        <w:t xml:space="preserve">Самые дорогие помещения под сферу услуг находятся в Петроградском и Центральном районах  (138 тыс. – 143 тыс. руб. за кв. м), самые дешевые в Красносельском (104,6 тыс. руб. за кв. м в месяц). </w:t>
      </w:r>
    </w:p>
    <w:p w:rsidR="0049427F" w:rsidRPr="00003A3A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003A3A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003A3A">
        <w:rPr>
          <w:rFonts w:asciiTheme="minorHAnsi" w:eastAsia="+mn-ea" w:hAnsiTheme="minorHAnsi"/>
          <w:i/>
          <w:iCs/>
          <w:noProof/>
          <w:sz w:val="20"/>
          <w:szCs w:val="20"/>
        </w:rPr>
        <w:t xml:space="preserve">Цена предложения по районам, руб./кв. м. в месяц </w:t>
      </w:r>
    </w:p>
    <w:tbl>
      <w:tblPr>
        <w:tblW w:w="9760" w:type="dxa"/>
        <w:tblCellMar>
          <w:left w:w="0" w:type="dxa"/>
          <w:right w:w="0" w:type="dxa"/>
        </w:tblCellMar>
        <w:tblLook w:val="04A0"/>
      </w:tblPr>
      <w:tblGrid>
        <w:gridCol w:w="3853"/>
        <w:gridCol w:w="1476"/>
        <w:gridCol w:w="1478"/>
        <w:gridCol w:w="1477"/>
        <w:gridCol w:w="1476"/>
      </w:tblGrid>
      <w:tr w:rsidR="002507B8" w:rsidRPr="00003A3A" w:rsidTr="002507B8">
        <w:trPr>
          <w:trHeight w:val="56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Район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Офисы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Различного назначения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Торговля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Сфера услуг</w:t>
            </w:r>
          </w:p>
        </w:tc>
      </w:tr>
      <w:tr w:rsidR="002507B8" w:rsidRPr="00003A3A" w:rsidTr="00003A3A">
        <w:trPr>
          <w:trHeight w:val="24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Адмиралтейский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109 581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113 404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147 670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128 409</w:t>
            </w:r>
          </w:p>
        </w:tc>
      </w:tr>
      <w:tr w:rsidR="002507B8" w:rsidRPr="00003A3A" w:rsidTr="002507B8">
        <w:trPr>
          <w:trHeight w:val="26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Василеостровский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103 865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100 928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123 730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123 596</w:t>
            </w:r>
          </w:p>
        </w:tc>
      </w:tr>
      <w:tr w:rsidR="002507B8" w:rsidRPr="00003A3A" w:rsidTr="00003A3A">
        <w:trPr>
          <w:trHeight w:val="24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Выборгский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82 827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102 479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145 989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125 418</w:t>
            </w:r>
          </w:p>
        </w:tc>
      </w:tr>
      <w:tr w:rsidR="002507B8" w:rsidRPr="00003A3A" w:rsidTr="002507B8">
        <w:trPr>
          <w:trHeight w:val="26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Калининский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98 344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96 645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127 955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125 827</w:t>
            </w:r>
          </w:p>
        </w:tc>
      </w:tr>
      <w:tr w:rsidR="002507B8" w:rsidRPr="00003A3A" w:rsidTr="00003A3A">
        <w:trPr>
          <w:trHeight w:val="26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Кировский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96 301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107 210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129 140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128 060</w:t>
            </w:r>
          </w:p>
        </w:tc>
      </w:tr>
      <w:tr w:rsidR="002507B8" w:rsidRPr="00003A3A" w:rsidTr="002507B8">
        <w:trPr>
          <w:trHeight w:val="25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Красногвардейский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105 847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101 200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122 369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122 481</w:t>
            </w:r>
          </w:p>
        </w:tc>
      </w:tr>
      <w:tr w:rsidR="002507B8" w:rsidRPr="00003A3A" w:rsidTr="00003A3A">
        <w:trPr>
          <w:trHeight w:val="25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Красносельский</w:t>
            </w:r>
            <w:proofErr w:type="spellEnd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76 376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92 710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96 629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104 641</w:t>
            </w:r>
          </w:p>
        </w:tc>
      </w:tr>
      <w:tr w:rsidR="002507B8" w:rsidRPr="00003A3A" w:rsidTr="002507B8">
        <w:trPr>
          <w:trHeight w:val="27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Московский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113 984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101 405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130 600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126 674</w:t>
            </w:r>
          </w:p>
        </w:tc>
      </w:tr>
      <w:tr w:rsidR="002507B8" w:rsidRPr="00003A3A" w:rsidTr="00003A3A">
        <w:trPr>
          <w:trHeight w:val="25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Невский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94 183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99 299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128 552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129 893</w:t>
            </w:r>
          </w:p>
        </w:tc>
      </w:tr>
      <w:tr w:rsidR="002507B8" w:rsidRPr="00003A3A" w:rsidTr="002507B8">
        <w:trPr>
          <w:trHeight w:val="25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Петроградский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134 105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123 982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151 987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137 569</w:t>
            </w:r>
          </w:p>
        </w:tc>
      </w:tr>
      <w:tr w:rsidR="002507B8" w:rsidRPr="00003A3A" w:rsidTr="00003A3A">
        <w:trPr>
          <w:trHeight w:val="259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Приморский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102 071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121 002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126 381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132 666</w:t>
            </w:r>
          </w:p>
        </w:tc>
      </w:tr>
      <w:tr w:rsidR="002507B8" w:rsidRPr="00003A3A" w:rsidTr="002507B8">
        <w:trPr>
          <w:trHeight w:val="264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101 740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97 025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130 059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122 875</w:t>
            </w:r>
          </w:p>
        </w:tc>
      </w:tr>
      <w:tr w:rsidR="002507B8" w:rsidRPr="00003A3A" w:rsidTr="00003A3A">
        <w:trPr>
          <w:trHeight w:val="25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Центральный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123 999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123 567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144 870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07B8" w:rsidRDefault="002507B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143 203</w:t>
            </w:r>
          </w:p>
        </w:tc>
      </w:tr>
    </w:tbl>
    <w:p w:rsidR="002F2DCE" w:rsidRPr="00003A3A" w:rsidRDefault="002F2DCE" w:rsidP="002F2DCE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  <w:r w:rsidRPr="00003A3A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</w:t>
      </w:r>
    </w:p>
    <w:p w:rsidR="002F2DCE" w:rsidRPr="00003A3A" w:rsidRDefault="002F2DCE" w:rsidP="002F2DCE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</w:p>
    <w:bookmarkEnd w:id="0"/>
    <w:p w:rsidR="007D0D26" w:rsidRPr="00003A3A" w:rsidRDefault="007D0D26" w:rsidP="007D0D26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  <w:r w:rsidRPr="00003A3A">
        <w:rPr>
          <w:rFonts w:asciiTheme="minorHAnsi" w:hAnsiTheme="minorHAnsi" w:cs="Times New Roman"/>
          <w:sz w:val="24"/>
          <w:szCs w:val="24"/>
        </w:rPr>
        <w:t xml:space="preserve">Отчет выполнен в соответствии с методологией Главного аналитика РГР Г.М. </w:t>
      </w:r>
      <w:proofErr w:type="spellStart"/>
      <w:r w:rsidRPr="00003A3A">
        <w:rPr>
          <w:rFonts w:asciiTheme="minorHAnsi" w:hAnsiTheme="minorHAnsi" w:cs="Times New Roman"/>
          <w:sz w:val="24"/>
          <w:szCs w:val="24"/>
        </w:rPr>
        <w:t>Стерника</w:t>
      </w:r>
      <w:proofErr w:type="spellEnd"/>
    </w:p>
    <w:p w:rsidR="007D0D26" w:rsidRPr="00003A3A" w:rsidRDefault="007D0D26" w:rsidP="007D0D26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</w:p>
    <w:p w:rsidR="007D0D26" w:rsidRPr="00003A3A" w:rsidRDefault="007D0D26" w:rsidP="007D0D26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  <w:r w:rsidRPr="00003A3A">
        <w:rPr>
          <w:rFonts w:asciiTheme="minorHAnsi" w:hAnsiTheme="minorHAnsi" w:cs="Times New Roman"/>
          <w:sz w:val="24"/>
          <w:szCs w:val="24"/>
        </w:rPr>
        <w:t xml:space="preserve">Подготовлено:  </w:t>
      </w:r>
    </w:p>
    <w:p w:rsidR="007D0D26" w:rsidRPr="00003A3A" w:rsidRDefault="007D0D26" w:rsidP="007D0D26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003A3A">
        <w:rPr>
          <w:rFonts w:asciiTheme="minorHAnsi" w:hAnsiTheme="minorHAnsi"/>
          <w:sz w:val="24"/>
          <w:szCs w:val="24"/>
        </w:rPr>
        <w:t>Бент</w:t>
      </w:r>
      <w:proofErr w:type="spellEnd"/>
      <w:r w:rsidRPr="00003A3A">
        <w:rPr>
          <w:rFonts w:asciiTheme="minorHAnsi" w:hAnsiTheme="minorHAnsi"/>
          <w:sz w:val="24"/>
          <w:szCs w:val="24"/>
        </w:rPr>
        <w:t xml:space="preserve"> М.А., САРН, ООО «ГК «Бюллетень Недвижимости»</w:t>
      </w:r>
    </w:p>
    <w:p w:rsidR="007D0D26" w:rsidRPr="00003A3A" w:rsidRDefault="007D0D26" w:rsidP="007D0D26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003A3A">
        <w:rPr>
          <w:rFonts w:asciiTheme="minorHAnsi" w:hAnsiTheme="minorHAnsi"/>
          <w:sz w:val="24"/>
          <w:szCs w:val="24"/>
        </w:rPr>
        <w:t>тел</w:t>
      </w:r>
      <w:r w:rsidRPr="00003A3A">
        <w:rPr>
          <w:rFonts w:asciiTheme="minorHAnsi" w:hAnsiTheme="minorHAnsi"/>
          <w:sz w:val="24"/>
          <w:szCs w:val="24"/>
          <w:lang w:val="en-US"/>
        </w:rPr>
        <w:t>. (812) 32</w:t>
      </w:r>
      <w:r w:rsidR="00987D74">
        <w:rPr>
          <w:rFonts w:asciiTheme="minorHAnsi" w:hAnsiTheme="minorHAnsi"/>
          <w:sz w:val="24"/>
          <w:szCs w:val="24"/>
          <w:lang w:val="en-US"/>
        </w:rPr>
        <w:t>5</w:t>
      </w:r>
      <w:r w:rsidRPr="00003A3A">
        <w:rPr>
          <w:rFonts w:asciiTheme="minorHAnsi" w:hAnsiTheme="minorHAnsi"/>
          <w:sz w:val="24"/>
          <w:szCs w:val="24"/>
          <w:lang w:val="en-US"/>
        </w:rPr>
        <w:t>-</w:t>
      </w:r>
      <w:r w:rsidR="00987D74">
        <w:rPr>
          <w:rFonts w:asciiTheme="minorHAnsi" w:hAnsiTheme="minorHAnsi"/>
          <w:sz w:val="24"/>
          <w:szCs w:val="24"/>
          <w:lang w:val="en-US"/>
        </w:rPr>
        <w:t>0</w:t>
      </w:r>
      <w:r w:rsidRPr="00003A3A">
        <w:rPr>
          <w:rFonts w:asciiTheme="minorHAnsi" w:hAnsiTheme="minorHAnsi"/>
          <w:sz w:val="24"/>
          <w:szCs w:val="24"/>
          <w:lang w:val="en-US"/>
        </w:rPr>
        <w:t>6-8</w:t>
      </w:r>
      <w:r w:rsidR="00987D74">
        <w:rPr>
          <w:rFonts w:asciiTheme="minorHAnsi" w:hAnsiTheme="minorHAnsi"/>
          <w:sz w:val="24"/>
          <w:szCs w:val="24"/>
          <w:lang w:val="en-US"/>
        </w:rPr>
        <w:t>1</w:t>
      </w:r>
      <w:r w:rsidRPr="00003A3A">
        <w:rPr>
          <w:rFonts w:asciiTheme="minorHAnsi" w:hAnsiTheme="minorHAnsi"/>
          <w:sz w:val="24"/>
          <w:szCs w:val="24"/>
          <w:lang w:val="en-US"/>
        </w:rPr>
        <w:t xml:space="preserve">, e-mail: </w:t>
      </w:r>
      <w:hyperlink r:id="rId22" w:history="1">
        <w:r w:rsidRPr="00003A3A">
          <w:rPr>
            <w:rStyle w:val="a6"/>
            <w:rFonts w:asciiTheme="minorHAnsi" w:hAnsiTheme="minorHAnsi"/>
            <w:sz w:val="24"/>
            <w:szCs w:val="24"/>
            <w:lang w:val="en-US"/>
          </w:rPr>
          <w:t>analitika@bn.ru</w:t>
        </w:r>
      </w:hyperlink>
      <w:r w:rsidRPr="00003A3A">
        <w:rPr>
          <w:rFonts w:asciiTheme="minorHAnsi" w:hAnsiTheme="minorHAnsi"/>
          <w:sz w:val="24"/>
          <w:szCs w:val="24"/>
          <w:lang w:val="en-US"/>
        </w:rPr>
        <w:t xml:space="preserve">, </w:t>
      </w:r>
    </w:p>
    <w:p w:rsidR="007D0D26" w:rsidRPr="00003A3A" w:rsidRDefault="007D0D26" w:rsidP="007D0D26">
      <w:p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003A3A">
        <w:rPr>
          <w:rFonts w:asciiTheme="minorHAnsi" w:hAnsiTheme="minorHAnsi"/>
          <w:sz w:val="24"/>
          <w:szCs w:val="24"/>
          <w:lang w:val="en-US"/>
        </w:rPr>
        <w:t>web-</w:t>
      </w:r>
      <w:r w:rsidRPr="00003A3A">
        <w:rPr>
          <w:rFonts w:asciiTheme="minorHAnsi" w:hAnsiTheme="minorHAnsi"/>
          <w:sz w:val="24"/>
          <w:szCs w:val="24"/>
        </w:rPr>
        <w:t>сайт</w:t>
      </w:r>
      <w:proofErr w:type="gramEnd"/>
      <w:r w:rsidRPr="00003A3A">
        <w:rPr>
          <w:rFonts w:asciiTheme="minorHAnsi" w:hAnsiTheme="minorHAnsi"/>
          <w:sz w:val="24"/>
          <w:szCs w:val="24"/>
          <w:lang w:val="en-US"/>
        </w:rPr>
        <w:t>: www.bn.ru</w:t>
      </w:r>
    </w:p>
    <w:p w:rsidR="00954379" w:rsidRPr="00003A3A" w:rsidRDefault="00954379" w:rsidP="00AC0B4E">
      <w:pPr>
        <w:rPr>
          <w:rFonts w:asciiTheme="minorHAnsi" w:hAnsiTheme="minorHAnsi"/>
          <w:noProof/>
          <w:sz w:val="24"/>
          <w:szCs w:val="24"/>
          <w:lang w:eastAsia="ru-RU"/>
        </w:rPr>
      </w:pPr>
    </w:p>
    <w:sectPr w:rsidR="00954379" w:rsidRPr="00003A3A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03A3A"/>
    <w:rsid w:val="000238F4"/>
    <w:rsid w:val="000505CF"/>
    <w:rsid w:val="001C456E"/>
    <w:rsid w:val="001D7A22"/>
    <w:rsid w:val="00214288"/>
    <w:rsid w:val="00217B1F"/>
    <w:rsid w:val="002216E0"/>
    <w:rsid w:val="0024189D"/>
    <w:rsid w:val="00243E1E"/>
    <w:rsid w:val="002507B8"/>
    <w:rsid w:val="002567A3"/>
    <w:rsid w:val="00273DF1"/>
    <w:rsid w:val="00290895"/>
    <w:rsid w:val="002A6964"/>
    <w:rsid w:val="002D2B9D"/>
    <w:rsid w:val="002F2DCE"/>
    <w:rsid w:val="003318EE"/>
    <w:rsid w:val="003A29AD"/>
    <w:rsid w:val="003A5C37"/>
    <w:rsid w:val="003B6309"/>
    <w:rsid w:val="003B7C2F"/>
    <w:rsid w:val="00405A49"/>
    <w:rsid w:val="0049212B"/>
    <w:rsid w:val="0049427F"/>
    <w:rsid w:val="004F06CE"/>
    <w:rsid w:val="005719A7"/>
    <w:rsid w:val="006632B2"/>
    <w:rsid w:val="006C3A8E"/>
    <w:rsid w:val="006F0FD8"/>
    <w:rsid w:val="006F348E"/>
    <w:rsid w:val="00734954"/>
    <w:rsid w:val="007C209E"/>
    <w:rsid w:val="007D0D26"/>
    <w:rsid w:val="00821608"/>
    <w:rsid w:val="008219DF"/>
    <w:rsid w:val="008762A3"/>
    <w:rsid w:val="00894196"/>
    <w:rsid w:val="00954379"/>
    <w:rsid w:val="00987D74"/>
    <w:rsid w:val="00A2697E"/>
    <w:rsid w:val="00AC0B4E"/>
    <w:rsid w:val="00B12874"/>
    <w:rsid w:val="00B1440E"/>
    <w:rsid w:val="00B36AB4"/>
    <w:rsid w:val="00BA7C8E"/>
    <w:rsid w:val="00C7621E"/>
    <w:rsid w:val="00C77A96"/>
    <w:rsid w:val="00C77F04"/>
    <w:rsid w:val="00CD5723"/>
    <w:rsid w:val="00D10C0B"/>
    <w:rsid w:val="00D50628"/>
    <w:rsid w:val="00E06B77"/>
    <w:rsid w:val="00E07149"/>
    <w:rsid w:val="00E11116"/>
    <w:rsid w:val="00E23604"/>
    <w:rsid w:val="00E242BA"/>
    <w:rsid w:val="00E4029E"/>
    <w:rsid w:val="00E61C3A"/>
    <w:rsid w:val="00E916A8"/>
    <w:rsid w:val="00FA5E13"/>
    <w:rsid w:val="00FB7563"/>
    <w:rsid w:val="00FC282D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5.8879732317324227E-2"/>
          <c:y val="3.4135992058230251E-2"/>
          <c:w val="0.9182097414012822"/>
          <c:h val="0.755083158993204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Лист1!$A$2:$A$10</c:f>
              <c:strCache>
                <c:ptCount val="9"/>
                <c:pt idx="0">
                  <c:v>IV кв. 2012</c:v>
                </c:pt>
                <c:pt idx="1">
                  <c:v>I кв. 2013</c:v>
                </c:pt>
                <c:pt idx="2">
                  <c:v>II кв. 2013</c:v>
                </c:pt>
                <c:pt idx="3">
                  <c:v>III кв. 2013</c:v>
                </c:pt>
                <c:pt idx="4">
                  <c:v>IV кв. 2013</c:v>
                </c:pt>
                <c:pt idx="5">
                  <c:v>I кв. 2014</c:v>
                </c:pt>
                <c:pt idx="6">
                  <c:v>II кв. 2014</c:v>
                </c:pt>
                <c:pt idx="7">
                  <c:v>III кв. 2014</c:v>
                </c:pt>
                <c:pt idx="8">
                  <c:v>IV кв. 2014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2763</c:v>
                </c:pt>
                <c:pt idx="1">
                  <c:v>2631</c:v>
                </c:pt>
                <c:pt idx="2">
                  <c:v>2488</c:v>
                </c:pt>
                <c:pt idx="3">
                  <c:v>2138</c:v>
                </c:pt>
                <c:pt idx="4">
                  <c:v>1925</c:v>
                </c:pt>
                <c:pt idx="5">
                  <c:v>2135</c:v>
                </c:pt>
                <c:pt idx="6" formatCode="0.00%">
                  <c:v>1942</c:v>
                </c:pt>
                <c:pt idx="7" formatCode="0.00%">
                  <c:v>1763</c:v>
                </c:pt>
                <c:pt idx="8" formatCode="0.00%">
                  <c:v>1613</c:v>
                </c:pt>
              </c:numCache>
            </c:numRef>
          </c:val>
        </c:ser>
        <c:dLbls>
          <c:showVal val="1"/>
        </c:dLbls>
        <c:gapWidth val="75"/>
        <c:axId val="67416064"/>
        <c:axId val="67473408"/>
      </c:barChart>
      <c:catAx>
        <c:axId val="67416064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473408"/>
        <c:crosses val="autoZero"/>
        <c:auto val="1"/>
        <c:lblAlgn val="ctr"/>
        <c:lblOffset val="100"/>
      </c:catAx>
      <c:valAx>
        <c:axId val="67473408"/>
        <c:scaling>
          <c:orientation val="minMax"/>
        </c:scaling>
        <c:axPos val="l"/>
        <c:numFmt formatCode="#,##0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416064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</c:chart>
  <c:txPr>
    <a:bodyPr/>
    <a:lstStyle/>
    <a:p>
      <a:pPr>
        <a:defRPr sz="799">
          <a:latin typeface="PT Sans"/>
        </a:defRPr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7973875714515281"/>
          <c:y val="3.4135992058230202E-2"/>
          <c:w val="0.74951233136674233"/>
          <c:h val="0.8085703080218419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&lt;40</c:v>
                </c:pt>
                <c:pt idx="1">
                  <c:v>40-79</c:v>
                </c:pt>
                <c:pt idx="2">
                  <c:v>80-119</c:v>
                </c:pt>
                <c:pt idx="3">
                  <c:v>120-159</c:v>
                </c:pt>
                <c:pt idx="4">
                  <c:v>160-199</c:v>
                </c:pt>
                <c:pt idx="5">
                  <c:v>200-239</c:v>
                </c:pt>
                <c:pt idx="6">
                  <c:v>240-280</c:v>
                </c:pt>
                <c:pt idx="7">
                  <c:v>&gt;280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5.7195571955719657E-2</c:v>
                </c:pt>
                <c:pt idx="1">
                  <c:v>0.4963099630996321</c:v>
                </c:pt>
                <c:pt idx="2">
                  <c:v>0.19926199261992639</c:v>
                </c:pt>
                <c:pt idx="3">
                  <c:v>7.5645756457564481E-2</c:v>
                </c:pt>
                <c:pt idx="4">
                  <c:v>2.9520295202952029E-2</c:v>
                </c:pt>
                <c:pt idx="5">
                  <c:v>1.2915129151291513E-2</c:v>
                </c:pt>
                <c:pt idx="6">
                  <c:v>1.8450184501845025E-2</c:v>
                </c:pt>
                <c:pt idx="7">
                  <c:v>0.11070110701107012</c:v>
                </c:pt>
              </c:numCache>
            </c:numRef>
          </c:val>
        </c:ser>
        <c:dLbls>
          <c:showVal val="1"/>
        </c:dLbls>
        <c:gapWidth val="75"/>
        <c:axId val="84221952"/>
        <c:axId val="84225024"/>
      </c:barChart>
      <c:catAx>
        <c:axId val="842219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225024"/>
        <c:crosses val="autoZero"/>
        <c:auto val="1"/>
        <c:lblAlgn val="ctr"/>
        <c:lblOffset val="100"/>
      </c:catAx>
      <c:valAx>
        <c:axId val="84225024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22195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25"/>
          <c:h val="0.7357292188187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137.32715231788103</c:v>
                </c:pt>
                <c:pt idx="1">
                  <c:v>141.88115942029012</c:v>
                </c:pt>
                <c:pt idx="2">
                  <c:v>140.54874213836479</c:v>
                </c:pt>
                <c:pt idx="3">
                  <c:v>143.16613924050634</c:v>
                </c:pt>
              </c:numCache>
            </c:numRef>
          </c:val>
        </c:ser>
        <c:dLbls>
          <c:showVal val="1"/>
        </c:dLbls>
        <c:gapWidth val="75"/>
        <c:axId val="85485440"/>
        <c:axId val="85487616"/>
      </c:barChart>
      <c:catAx>
        <c:axId val="85485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487616"/>
        <c:crosses val="autoZero"/>
        <c:auto val="1"/>
        <c:lblAlgn val="ctr"/>
        <c:lblOffset val="100"/>
      </c:catAx>
      <c:valAx>
        <c:axId val="85487616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485440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58"/>
          <c:h val="0.750922534683164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141.78140703517587</c:v>
                </c:pt>
                <c:pt idx="1">
                  <c:v>145.22279792746124</c:v>
                </c:pt>
                <c:pt idx="2">
                  <c:v>146.24691358024671</c:v>
                </c:pt>
                <c:pt idx="3">
                  <c:v>130.84751773049646</c:v>
                </c:pt>
              </c:numCache>
            </c:numRef>
          </c:val>
        </c:ser>
        <c:dLbls>
          <c:showVal val="1"/>
        </c:dLbls>
        <c:gapWidth val="75"/>
        <c:axId val="89452928"/>
        <c:axId val="89542656"/>
      </c:barChart>
      <c:catAx>
        <c:axId val="89452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542656"/>
        <c:crosses val="autoZero"/>
        <c:auto val="1"/>
        <c:lblAlgn val="ctr"/>
        <c:lblOffset val="100"/>
      </c:catAx>
      <c:valAx>
        <c:axId val="89542656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452928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58"/>
          <c:h val="0.744458462029262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198.04696132596678</c:v>
                </c:pt>
                <c:pt idx="1">
                  <c:v>183.77981651376138</c:v>
                </c:pt>
                <c:pt idx="2">
                  <c:v>194.56838905775103</c:v>
                </c:pt>
                <c:pt idx="3">
                  <c:v>195.34563758389262</c:v>
                </c:pt>
              </c:numCache>
            </c:numRef>
          </c:val>
        </c:ser>
        <c:dLbls>
          <c:showVal val="1"/>
        </c:dLbls>
        <c:gapWidth val="75"/>
        <c:axId val="89633536"/>
        <c:axId val="89649152"/>
      </c:barChart>
      <c:catAx>
        <c:axId val="89633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649152"/>
        <c:crosses val="autoZero"/>
        <c:auto val="1"/>
        <c:lblAlgn val="ctr"/>
        <c:lblOffset val="100"/>
      </c:catAx>
      <c:valAx>
        <c:axId val="8964915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63353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92"/>
          <c:h val="0.736194958870364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109.89502762430939</c:v>
                </c:pt>
                <c:pt idx="1">
                  <c:v>174.10958904109577</c:v>
                </c:pt>
                <c:pt idx="2">
                  <c:v>160.54098360655684</c:v>
                </c:pt>
                <c:pt idx="3">
                  <c:v>160.47311827956977</c:v>
                </c:pt>
              </c:numCache>
            </c:numRef>
          </c:val>
        </c:ser>
        <c:dLbls>
          <c:showVal val="1"/>
        </c:dLbls>
        <c:gapWidth val="75"/>
        <c:axId val="89702784"/>
        <c:axId val="89704704"/>
      </c:barChart>
      <c:catAx>
        <c:axId val="897027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704704"/>
        <c:crosses val="autoZero"/>
        <c:auto val="1"/>
        <c:lblAlgn val="ctr"/>
        <c:lblOffset val="100"/>
      </c:catAx>
      <c:valAx>
        <c:axId val="8970470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702784"/>
        <c:crosses val="autoZero"/>
        <c:crossBetween val="between"/>
        <c:majorUnit val="50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4244453739417118"/>
          <c:y val="3.4135992058230202E-2"/>
          <c:w val="0.84223738441673957"/>
          <c:h val="0.7505244054476304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1.6797081011197527E-2"/>
                  <c:y val="8.8184701816402783E-2"/>
                </c:manualLayout>
              </c:layout>
              <c:showVal val="1"/>
            </c:dLbl>
            <c:dLbl>
              <c:idx val="1"/>
              <c:layout>
                <c:manualLayout>
                  <c:x val="-8.3985405055987741E-3"/>
                  <c:y val="6.41343285937475E-2"/>
                </c:manualLayout>
              </c:layout>
              <c:showVal val="1"/>
            </c:dLbl>
            <c:dLbl>
              <c:idx val="2"/>
              <c:layout>
                <c:manualLayout>
                  <c:x val="-4.1996009040003923E-3"/>
                  <c:y val="-6.4134328593747542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103.4231621282438</c:v>
                </c:pt>
                <c:pt idx="1">
                  <c:v>107.56954740598931</c:v>
                </c:pt>
                <c:pt idx="2">
                  <c:v>110.68742574240139</c:v>
                </c:pt>
                <c:pt idx="3">
                  <c:v>110.09871244407</c:v>
                </c:pt>
              </c:numCache>
            </c:numRef>
          </c:val>
        </c:ser>
        <c:dLbls>
          <c:showVal val="1"/>
        </c:dLbls>
        <c:marker val="1"/>
        <c:axId val="90878336"/>
        <c:axId val="90879872"/>
      </c:lineChart>
      <c:catAx>
        <c:axId val="90878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0879872"/>
        <c:crosses val="autoZero"/>
        <c:auto val="1"/>
        <c:lblAlgn val="ctr"/>
        <c:lblOffset val="100"/>
      </c:catAx>
      <c:valAx>
        <c:axId val="90879872"/>
        <c:scaling>
          <c:orientation val="minMax"/>
        </c:scaling>
        <c:axPos val="l"/>
        <c:numFmt formatCode="0.0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08783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92"/>
          <c:h val="0.751406585540443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5.4590513286391924E-2"/>
                  <c:y val="0.10421828396483988"/>
                </c:manualLayout>
              </c:layout>
              <c:showVal val="1"/>
            </c:dLbl>
            <c:dLbl>
              <c:idx val="1"/>
              <c:layout>
                <c:manualLayout>
                  <c:x val="-8.3985405055987811E-3"/>
                  <c:y val="3.2067164296873792E-2"/>
                </c:manualLayout>
              </c:layout>
              <c:showVal val="1"/>
            </c:dLbl>
            <c:dLbl>
              <c:idx val="2"/>
              <c:layout>
                <c:manualLayout>
                  <c:x val="-8.3985405055987065E-3"/>
                  <c:y val="8.8184701816402852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111.13948616016387</c:v>
                </c:pt>
                <c:pt idx="1">
                  <c:v>110.04026308537502</c:v>
                </c:pt>
                <c:pt idx="2">
                  <c:v>111.53908051300145</c:v>
                </c:pt>
                <c:pt idx="3">
                  <c:v>115.91862645229244</c:v>
                </c:pt>
              </c:numCache>
            </c:numRef>
          </c:val>
        </c:ser>
        <c:dLbls>
          <c:showVal val="1"/>
        </c:dLbls>
        <c:marker val="1"/>
        <c:axId val="90931200"/>
        <c:axId val="90933504"/>
      </c:lineChart>
      <c:catAx>
        <c:axId val="90931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0933504"/>
        <c:crosses val="autoZero"/>
        <c:auto val="1"/>
        <c:lblAlgn val="ctr"/>
        <c:lblOffset val="100"/>
      </c:catAx>
      <c:valAx>
        <c:axId val="9093350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0931200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92"/>
          <c:h val="0.7505244054476304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4.1992702527993827E-3"/>
                  <c:y val="-8.0167910742184548E-3"/>
                </c:manualLayout>
              </c:layout>
              <c:showVal val="1"/>
            </c:dLbl>
            <c:dLbl>
              <c:idx val="1"/>
              <c:layout>
                <c:manualLayout>
                  <c:x val="-8.3985405055987741E-3"/>
                  <c:y val="-2.4050373222655363E-2"/>
                </c:manualLayout>
              </c:layout>
              <c:showVal val="1"/>
            </c:dLbl>
            <c:dLbl>
              <c:idx val="2"/>
              <c:layout>
                <c:manualLayout>
                  <c:x val="-8.3985405055986961E-3"/>
                  <c:y val="-5.6117537519529102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134.25219817326501</c:v>
                </c:pt>
                <c:pt idx="1">
                  <c:v>132.74802094633486</c:v>
                </c:pt>
                <c:pt idx="2">
                  <c:v>134.11911221294741</c:v>
                </c:pt>
                <c:pt idx="3">
                  <c:v>132.7702257293966</c:v>
                </c:pt>
              </c:numCache>
            </c:numRef>
          </c:val>
        </c:ser>
        <c:dLbls>
          <c:showVal val="1"/>
        </c:dLbls>
        <c:marker val="1"/>
        <c:axId val="90998272"/>
        <c:axId val="90999808"/>
      </c:lineChart>
      <c:catAx>
        <c:axId val="90998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0999808"/>
        <c:crosses val="autoZero"/>
        <c:auto val="1"/>
        <c:lblAlgn val="ctr"/>
        <c:lblOffset val="100"/>
      </c:catAx>
      <c:valAx>
        <c:axId val="90999808"/>
        <c:scaling>
          <c:orientation val="minMax"/>
        </c:scaling>
        <c:axPos val="l"/>
        <c:numFmt formatCode="#,##0.0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09982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14"/>
          <c:h val="0.7442114987023270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2.939489176959563E-2"/>
                  <c:y val="0.10421828396484001"/>
                </c:manualLayout>
              </c:layout>
              <c:showVal val="1"/>
            </c:dLbl>
            <c:dLbl>
              <c:idx val="1"/>
              <c:layout>
                <c:manualLayout>
                  <c:x val="-3.3594162022395006E-2"/>
                  <c:y val="7.2150488424574305E-2"/>
                </c:manualLayout>
              </c:layout>
              <c:showVal val="1"/>
            </c:dLbl>
            <c:dLbl>
              <c:idx val="2"/>
              <c:layout>
                <c:manualLayout>
                  <c:x val="-8.3985405055986961E-3"/>
                  <c:y val="7.2150488424574305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129.83640150060808</c:v>
                </c:pt>
                <c:pt idx="1">
                  <c:v>126.19740374627578</c:v>
                </c:pt>
                <c:pt idx="2">
                  <c:v>125.9773183157877</c:v>
                </c:pt>
                <c:pt idx="3">
                  <c:v>131.59710814204701</c:v>
                </c:pt>
              </c:numCache>
            </c:numRef>
          </c:val>
        </c:ser>
        <c:dLbls>
          <c:showVal val="1"/>
        </c:dLbls>
        <c:marker val="1"/>
        <c:axId val="91160960"/>
        <c:axId val="91163264"/>
      </c:lineChart>
      <c:catAx>
        <c:axId val="91160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1163264"/>
        <c:crosses val="autoZero"/>
        <c:auto val="1"/>
        <c:lblAlgn val="ctr"/>
        <c:lblOffset val="100"/>
      </c:catAx>
      <c:valAx>
        <c:axId val="9116326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1160960"/>
        <c:crosses val="autoZero"/>
        <c:crossBetween val="between"/>
        <c:majorUnit val="100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Продажа</c:v>
                </c:pt>
              </c:strCache>
            </c:strRef>
          </c:tx>
          <c:spPr>
            <a:solidFill>
              <a:srgbClr val="B9553B"/>
            </a:solidFill>
            <a:ln>
              <a:solidFill>
                <a:srgbClr val="B9553B"/>
              </a:solidFill>
            </a:ln>
          </c:spPr>
          <c:explosion val="8"/>
          <c:dPt>
            <c:idx val="4"/>
            <c:spPr>
              <a:solidFill>
                <a:srgbClr val="FCD6A4"/>
              </a:solidFill>
              <a:ln>
                <a:solidFill>
                  <a:srgbClr val="B9553B"/>
                </a:solidFill>
              </a:ln>
            </c:spPr>
          </c:dPt>
          <c:dPt>
            <c:idx val="5"/>
            <c:spPr>
              <a:solidFill>
                <a:srgbClr val="FCD6A4"/>
              </a:solidFill>
              <a:ln>
                <a:solidFill>
                  <a:srgbClr val="B9553B"/>
                </a:solidFill>
              </a:ln>
            </c:spPr>
          </c:dPt>
          <c:dPt>
            <c:idx val="6"/>
            <c:spPr>
              <a:solidFill>
                <a:srgbClr val="FCD6A4"/>
              </a:solidFill>
              <a:ln>
                <a:solidFill>
                  <a:srgbClr val="B9553B"/>
                </a:solidFill>
              </a:ln>
            </c:spPr>
          </c:dPt>
          <c:dLbls>
            <c:dLbl>
              <c:idx val="0"/>
              <c:layout>
                <c:manualLayout>
                  <c:x val="-3.6867753735507491E-3"/>
                  <c:y val="-2.6256308512617066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7.5636844607022691E-3"/>
                  <c:y val="-9.2800297600595119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0.12904970343274039"/>
                  <c:y val="0.17536313472626983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8.1821976977287502E-3"/>
                  <c:y val="1.678219356438716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 dirty="0" smtClean="0">
                        <a:latin typeface="PT Sans"/>
                      </a:rPr>
                      <a:t>т</a:t>
                    </a:r>
                    <a:r>
                      <a:rPr lang="ru-RU" dirty="0" smtClean="0"/>
                      <a:t>орговля; </a:t>
                    </a:r>
                  </a:p>
                  <a:p>
                    <a:r>
                      <a:rPr lang="ru-RU" dirty="0" smtClean="0"/>
                      <a:t>6</a:t>
                    </a:r>
                    <a:r>
                      <a:rPr lang="en-US" dirty="0" smtClean="0"/>
                      <a:t>,</a:t>
                    </a:r>
                    <a:r>
                      <a:rPr lang="ru-RU" dirty="0" smtClean="0"/>
                      <a:t>39%</a:t>
                    </a:r>
                    <a:endParaRPr lang="ru-RU" dirty="0"/>
                  </a:p>
                </c:rich>
              </c:tx>
              <c:dLblPos val="bestFit"/>
            </c:dLbl>
            <c:dLbl>
              <c:idx val="4"/>
              <c:layout>
                <c:manualLayout>
                  <c:x val="0.14068241469816273"/>
                  <c:y val="-0.19720503441006904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8.3011718023436043E-2"/>
                  <c:y val="3.8782317564635218E-3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-2.3097112860892392E-2"/>
                  <c:y val="8.1224626449253073E-2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3.1313455131491397E-3"/>
                  <c:y val="-5.7881499756732794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 dirty="0" smtClean="0">
                        <a:latin typeface="PT Sans"/>
                      </a:rPr>
                      <a:t>д</a:t>
                    </a:r>
                    <a:r>
                      <a:rPr lang="ru-RU" dirty="0" smtClean="0"/>
                      <a:t>ругие; </a:t>
                    </a:r>
                  </a:p>
                  <a:p>
                    <a:r>
                      <a:rPr lang="ru-RU" dirty="0" smtClean="0"/>
                      <a:t>8</a:t>
                    </a:r>
                    <a:r>
                      <a:rPr lang="en-US" dirty="0" smtClean="0"/>
                      <a:t>,</a:t>
                    </a:r>
                    <a:r>
                      <a:rPr lang="ru-RU" dirty="0" smtClean="0"/>
                      <a:t>74%</a:t>
                    </a:r>
                    <a:endParaRPr lang="ru-RU" dirty="0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900" b="0">
                    <a:latin typeface="PT Sans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сфера услуг</c:v>
                </c:pt>
                <c:pt idx="1">
                  <c:v>офис</c:v>
                </c:pt>
                <c:pt idx="2">
                  <c:v>разл. назнечения</c:v>
                </c:pt>
                <c:pt idx="3">
                  <c:v>торговля</c:v>
                </c:pt>
                <c:pt idx="4">
                  <c:v>здания</c:v>
                </c:pt>
                <c:pt idx="5">
                  <c:v>производство, склад</c:v>
                </c:pt>
                <c:pt idx="6">
                  <c:v>земля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0.21016738995660283</c:v>
                </c:pt>
                <c:pt idx="1">
                  <c:v>0.19094854308741507</c:v>
                </c:pt>
                <c:pt idx="2">
                  <c:v>0.43521388716677045</c:v>
                </c:pt>
                <c:pt idx="3">
                  <c:v>6.3856168629882207E-2</c:v>
                </c:pt>
                <c:pt idx="4">
                  <c:v>6.0756354618722912E-2</c:v>
                </c:pt>
                <c:pt idx="5">
                  <c:v>1.5499070055796652E-2</c:v>
                </c:pt>
                <c:pt idx="6">
                  <c:v>2.3558586484810913E-2</c:v>
                </c:pt>
              </c:numCache>
            </c:numRef>
          </c:val>
        </c:ser>
        <c:gapWidth val="150"/>
        <c:secondPieSize val="75"/>
        <c:serLines/>
      </c:ofPieChart>
      <c:spPr>
        <a:noFill/>
      </c:spPr>
    </c:plotArea>
    <c:plotVisOnly val="1"/>
    <c:dispBlanksAs val="zero"/>
  </c:chart>
  <c:txPr>
    <a:bodyPr/>
    <a:lstStyle/>
    <a:p>
      <a:pPr>
        <a:defRPr sz="1000"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433150402048780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9.7847358121330746E-2</c:v>
                </c:pt>
                <c:pt idx="1">
                  <c:v>8.8062622309197772E-2</c:v>
                </c:pt>
                <c:pt idx="2">
                  <c:v>6.8819308545335939E-2</c:v>
                </c:pt>
                <c:pt idx="3">
                  <c:v>4.0769732550554473E-2</c:v>
                </c:pt>
                <c:pt idx="4">
                  <c:v>4.0769732550554473E-2</c:v>
                </c:pt>
                <c:pt idx="5">
                  <c:v>3.9138943248532287E-2</c:v>
                </c:pt>
                <c:pt idx="6">
                  <c:v>2.5114155251141548E-2</c:v>
                </c:pt>
                <c:pt idx="7">
                  <c:v>8.2844096542726745E-2</c:v>
                </c:pt>
                <c:pt idx="8">
                  <c:v>6.03392041748207E-2</c:v>
                </c:pt>
                <c:pt idx="9">
                  <c:v>6.9145466405740402E-2</c:v>
                </c:pt>
                <c:pt idx="10">
                  <c:v>0.10241356816699282</c:v>
                </c:pt>
                <c:pt idx="11">
                  <c:v>4.3052837573385516E-2</c:v>
                </c:pt>
                <c:pt idx="12">
                  <c:v>0.24168297455968688</c:v>
                </c:pt>
              </c:numCache>
            </c:numRef>
          </c:val>
        </c:ser>
        <c:dLbls>
          <c:showVal val="1"/>
        </c:dLbls>
        <c:gapWidth val="75"/>
        <c:axId val="76728576"/>
        <c:axId val="76741632"/>
      </c:barChart>
      <c:catAx>
        <c:axId val="767285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6741632"/>
        <c:crosses val="autoZero"/>
        <c:auto val="1"/>
        <c:lblAlgn val="ctr"/>
        <c:lblOffset val="100"/>
      </c:catAx>
      <c:valAx>
        <c:axId val="76741632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672857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38150724028"/>
          <c:y val="3.4136207599401322E-2"/>
          <c:w val="0.60613576316393492"/>
          <c:h val="0.837016755421236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0.1031592520954223</c:v>
                </c:pt>
                <c:pt idx="1">
                  <c:v>0.1257253384912963</c:v>
                </c:pt>
                <c:pt idx="2">
                  <c:v>5.2869116698903935E-2</c:v>
                </c:pt>
                <c:pt idx="3">
                  <c:v>2.6434558349451971E-2</c:v>
                </c:pt>
                <c:pt idx="4">
                  <c:v>1.676337846550616E-2</c:v>
                </c:pt>
                <c:pt idx="5">
                  <c:v>5.8027079303675053E-2</c:v>
                </c:pt>
                <c:pt idx="6">
                  <c:v>7.736943907156687E-3</c:v>
                </c:pt>
                <c:pt idx="7">
                  <c:v>8.1882656350741434E-2</c:v>
                </c:pt>
                <c:pt idx="8">
                  <c:v>2.8368794326241127E-2</c:v>
                </c:pt>
                <c:pt idx="9">
                  <c:v>0.12379110251450694</c:v>
                </c:pt>
                <c:pt idx="10">
                  <c:v>5.3513862024500321E-2</c:v>
                </c:pt>
                <c:pt idx="11">
                  <c:v>7.0921985815602896E-3</c:v>
                </c:pt>
                <c:pt idx="12">
                  <c:v>0.31463571889103803</c:v>
                </c:pt>
              </c:numCache>
            </c:numRef>
          </c:val>
        </c:ser>
        <c:dLbls>
          <c:showVal val="1"/>
        </c:dLbls>
        <c:gapWidth val="75"/>
        <c:axId val="79278080"/>
        <c:axId val="79281152"/>
      </c:barChart>
      <c:catAx>
        <c:axId val="792780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281152"/>
        <c:crosses val="autoZero"/>
        <c:auto val="1"/>
        <c:lblAlgn val="ctr"/>
        <c:lblOffset val="100"/>
      </c:catAx>
      <c:valAx>
        <c:axId val="79281152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278080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307184706375949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9.1394262841894752E-2</c:v>
                </c:pt>
                <c:pt idx="1">
                  <c:v>6.9379586390927284E-2</c:v>
                </c:pt>
                <c:pt idx="2">
                  <c:v>7.8719146097398274E-2</c:v>
                </c:pt>
                <c:pt idx="3">
                  <c:v>4.3362241494329594E-2</c:v>
                </c:pt>
                <c:pt idx="4">
                  <c:v>4.8699132755170085E-2</c:v>
                </c:pt>
                <c:pt idx="5">
                  <c:v>3.8025350233488985E-2</c:v>
                </c:pt>
                <c:pt idx="6">
                  <c:v>2.134756504336224E-2</c:v>
                </c:pt>
                <c:pt idx="7">
                  <c:v>7.8719146097398274E-2</c:v>
                </c:pt>
                <c:pt idx="8">
                  <c:v>9.3395597064709956E-2</c:v>
                </c:pt>
                <c:pt idx="9">
                  <c:v>5.8705803869246224E-2</c:v>
                </c:pt>
                <c:pt idx="10">
                  <c:v>7.6717811874583167E-2</c:v>
                </c:pt>
                <c:pt idx="11">
                  <c:v>4.2028018679119386E-2</c:v>
                </c:pt>
                <c:pt idx="12">
                  <c:v>0.25950633755837227</c:v>
                </c:pt>
              </c:numCache>
            </c:numRef>
          </c:val>
        </c:ser>
        <c:dLbls>
          <c:showVal val="1"/>
        </c:dLbls>
        <c:gapWidth val="75"/>
        <c:axId val="79904768"/>
        <c:axId val="79942784"/>
      </c:barChart>
      <c:catAx>
        <c:axId val="799047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942784"/>
        <c:crosses val="autoZero"/>
        <c:auto val="1"/>
        <c:lblAlgn val="ctr"/>
        <c:lblOffset val="100"/>
      </c:catAx>
      <c:valAx>
        <c:axId val="79942784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904768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307184706375949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2.5000000000000001E-2</c:v>
                </c:pt>
                <c:pt idx="1">
                  <c:v>4.3333333333333453E-2</c:v>
                </c:pt>
                <c:pt idx="2">
                  <c:v>0.17</c:v>
                </c:pt>
                <c:pt idx="3">
                  <c:v>5.8333333333333445E-2</c:v>
                </c:pt>
                <c:pt idx="4">
                  <c:v>5.6666666666666664E-2</c:v>
                </c:pt>
                <c:pt idx="5">
                  <c:v>6.5000000000000002E-2</c:v>
                </c:pt>
                <c:pt idx="6">
                  <c:v>3.0000000000000002E-2</c:v>
                </c:pt>
                <c:pt idx="7">
                  <c:v>6.0000000000000032E-2</c:v>
                </c:pt>
                <c:pt idx="8">
                  <c:v>7.6666666666666702E-2</c:v>
                </c:pt>
                <c:pt idx="9">
                  <c:v>4.5000000000000012E-2</c:v>
                </c:pt>
                <c:pt idx="10">
                  <c:v>8.3333333333333343E-2</c:v>
                </c:pt>
                <c:pt idx="11">
                  <c:v>0.12833333333333341</c:v>
                </c:pt>
                <c:pt idx="12">
                  <c:v>0.15833333333333363</c:v>
                </c:pt>
              </c:numCache>
            </c:numRef>
          </c:val>
        </c:ser>
        <c:dLbls>
          <c:showVal val="1"/>
        </c:dLbls>
        <c:gapWidth val="75"/>
        <c:axId val="80130432"/>
        <c:axId val="81548032"/>
      </c:barChart>
      <c:catAx>
        <c:axId val="801304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1548032"/>
        <c:crosses val="autoZero"/>
        <c:auto val="1"/>
        <c:lblAlgn val="ctr"/>
        <c:lblOffset val="100"/>
      </c:catAx>
      <c:valAx>
        <c:axId val="81548032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013043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961"/>
          <c:h val="0.8097755758058333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&lt;40</c:v>
                </c:pt>
                <c:pt idx="1">
                  <c:v>40-79</c:v>
                </c:pt>
                <c:pt idx="2">
                  <c:v>80-119</c:v>
                </c:pt>
                <c:pt idx="3">
                  <c:v>120-159</c:v>
                </c:pt>
                <c:pt idx="4">
                  <c:v>160-199</c:v>
                </c:pt>
                <c:pt idx="5">
                  <c:v>200-239</c:v>
                </c:pt>
                <c:pt idx="6">
                  <c:v>240-280</c:v>
                </c:pt>
                <c:pt idx="7">
                  <c:v>&gt;280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8.5145595281975697E-2</c:v>
                </c:pt>
                <c:pt idx="1">
                  <c:v>0.26502027276078183</c:v>
                </c:pt>
                <c:pt idx="2">
                  <c:v>0.24806487283450054</c:v>
                </c:pt>
                <c:pt idx="3">
                  <c:v>0.12384813859196452</c:v>
                </c:pt>
                <c:pt idx="4">
                  <c:v>8.1091043125691292E-2</c:v>
                </c:pt>
                <c:pt idx="5">
                  <c:v>5.1234795429413935E-2</c:v>
                </c:pt>
                <c:pt idx="6">
                  <c:v>4.2019904165130913E-2</c:v>
                </c:pt>
                <c:pt idx="7">
                  <c:v>0.10357537781054189</c:v>
                </c:pt>
              </c:numCache>
            </c:numRef>
          </c:val>
        </c:ser>
        <c:dLbls>
          <c:showVal val="1"/>
        </c:dLbls>
        <c:gapWidth val="75"/>
        <c:axId val="82116992"/>
        <c:axId val="82118528"/>
      </c:barChart>
      <c:catAx>
        <c:axId val="821169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118528"/>
        <c:crosses val="autoZero"/>
        <c:auto val="1"/>
        <c:lblAlgn val="ctr"/>
        <c:lblOffset val="100"/>
      </c:catAx>
      <c:valAx>
        <c:axId val="82118528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11699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7196421875836951"/>
          <c:y val="3.4135992058230202E-2"/>
          <c:w val="0.75728686975352566"/>
          <c:h val="0.825779728353628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&lt;40</c:v>
                </c:pt>
                <c:pt idx="1">
                  <c:v>40-79</c:v>
                </c:pt>
                <c:pt idx="2">
                  <c:v>80-119</c:v>
                </c:pt>
                <c:pt idx="3">
                  <c:v>120-159</c:v>
                </c:pt>
                <c:pt idx="4">
                  <c:v>160-199</c:v>
                </c:pt>
                <c:pt idx="5">
                  <c:v>200-239</c:v>
                </c:pt>
                <c:pt idx="6">
                  <c:v>240-280</c:v>
                </c:pt>
                <c:pt idx="7">
                  <c:v>&gt;280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9.8561151079136725E-2</c:v>
                </c:pt>
                <c:pt idx="1">
                  <c:v>0.28561151079136693</c:v>
                </c:pt>
                <c:pt idx="2">
                  <c:v>0.24460431654676287</c:v>
                </c:pt>
                <c:pt idx="3">
                  <c:v>0.10431654676259007</c:v>
                </c:pt>
                <c:pt idx="4">
                  <c:v>6.83453237410072E-2</c:v>
                </c:pt>
                <c:pt idx="5">
                  <c:v>3.5971223021582746E-2</c:v>
                </c:pt>
                <c:pt idx="6">
                  <c:v>4.5323741007194294E-2</c:v>
                </c:pt>
                <c:pt idx="7">
                  <c:v>0.11726618705035992</c:v>
                </c:pt>
              </c:numCache>
            </c:numRef>
          </c:val>
        </c:ser>
        <c:dLbls>
          <c:showVal val="1"/>
        </c:dLbls>
        <c:gapWidth val="75"/>
        <c:axId val="82561664"/>
        <c:axId val="83633280"/>
      </c:barChart>
      <c:catAx>
        <c:axId val="825616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3633280"/>
        <c:crosses val="autoZero"/>
        <c:auto val="1"/>
        <c:lblAlgn val="ctr"/>
        <c:lblOffset val="100"/>
      </c:catAx>
      <c:valAx>
        <c:axId val="83633280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561664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7635596435401327"/>
          <c:y val="3.4135992058230202E-2"/>
          <c:w val="0.75289495892659453"/>
          <c:h val="0.8243313051777617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&lt;40</c:v>
                </c:pt>
                <c:pt idx="1">
                  <c:v>40-79</c:v>
                </c:pt>
                <c:pt idx="2">
                  <c:v>80-119</c:v>
                </c:pt>
                <c:pt idx="3">
                  <c:v>120-159</c:v>
                </c:pt>
                <c:pt idx="4">
                  <c:v>160-199</c:v>
                </c:pt>
                <c:pt idx="5">
                  <c:v>200-239</c:v>
                </c:pt>
                <c:pt idx="6">
                  <c:v>240-280</c:v>
                </c:pt>
                <c:pt idx="7">
                  <c:v>&gt;280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8.6626139817629205E-2</c:v>
                </c:pt>
                <c:pt idx="1">
                  <c:v>0.2743161094224929</c:v>
                </c:pt>
                <c:pt idx="2">
                  <c:v>0.22112462006079017</c:v>
                </c:pt>
                <c:pt idx="3">
                  <c:v>0.12462006079027366</c:v>
                </c:pt>
                <c:pt idx="4">
                  <c:v>4.7872340425531922E-2</c:v>
                </c:pt>
                <c:pt idx="5">
                  <c:v>5.8510638297872383E-2</c:v>
                </c:pt>
                <c:pt idx="6">
                  <c:v>4.2553191489361722E-2</c:v>
                </c:pt>
                <c:pt idx="7">
                  <c:v>0.14437689969604864</c:v>
                </c:pt>
              </c:numCache>
            </c:numRef>
          </c:val>
        </c:ser>
        <c:dLbls>
          <c:showVal val="1"/>
        </c:dLbls>
        <c:gapWidth val="75"/>
        <c:axId val="83681664"/>
        <c:axId val="83853312"/>
      </c:barChart>
      <c:catAx>
        <c:axId val="836816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3853312"/>
        <c:crosses val="autoZero"/>
        <c:auto val="1"/>
        <c:lblAlgn val="ctr"/>
        <c:lblOffset val="100"/>
      </c:catAx>
      <c:valAx>
        <c:axId val="83853312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3681664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0.90647</cdr:y>
    </cdr:from>
    <cdr:to>
      <cdr:x>0.19919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924050"/>
          <a:ext cx="1225550" cy="187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0.88793</cdr:y>
    </cdr:from>
    <cdr:to>
      <cdr:x>0.37464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28575" y="1481137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200025" y="148590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42545" y="151003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38100" y="1538287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15570" y="1471612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04775" y="158115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42545" y="152400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575099"/>
          <a:ext cx="1224031" cy="1965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42545" y="1581150"/>
          <a:ext cx="1224031" cy="190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0.7811</cdr:x>
      <cdr:y>0.89764</cdr:y>
    </cdr:from>
    <cdr:to>
      <cdr:x>1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24400" y="1809750"/>
          <a:ext cx="1323975" cy="206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2016760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32385" y="2016760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95250" y="1924050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32385" y="2016760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0.89045</cdr:y>
    </cdr:from>
    <cdr:to>
      <cdr:x>0.37906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04775" y="159067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0.89344</cdr:y>
    </cdr:from>
    <cdr:to>
      <cdr:x>0.37464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28575" y="172402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0.8892</cdr:y>
    </cdr:from>
    <cdr:to>
      <cdr:x>0.37906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71450" y="159067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6719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mbent</cp:lastModifiedBy>
  <cp:revision>6</cp:revision>
  <dcterms:created xsi:type="dcterms:W3CDTF">2015-01-13T11:02:00Z</dcterms:created>
  <dcterms:modified xsi:type="dcterms:W3CDTF">2015-01-13T12:05:00Z</dcterms:modified>
</cp:coreProperties>
</file>