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20.xml" ContentType="application/vnd.openxmlformats-officedocument.drawingml.chart+xml"/>
  <Override PartName="/word/header1.xml" ContentType="application/vnd.openxmlformats-officedocument.wordprocessingml.header+xml"/>
  <Override PartName="/word/charts/chart2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6E35" w:rsidRDefault="008B6E35" w:rsidP="003C7084">
      <w:pPr>
        <w:rPr>
          <w:rFonts w:ascii="Arial" w:hAnsi="Arial" w:cs="Arial"/>
          <w:b/>
          <w:color w:val="365F91" w:themeColor="accent1" w:themeShade="BF"/>
          <w:sz w:val="26"/>
          <w:szCs w:val="26"/>
        </w:rPr>
      </w:pPr>
    </w:p>
    <w:p w:rsidR="003C7084" w:rsidRPr="00D10D39" w:rsidRDefault="001070DF" w:rsidP="003C7084">
      <w:pPr>
        <w:rPr>
          <w:rFonts w:ascii="Arial" w:hAnsi="Arial" w:cs="Arial"/>
          <w:b/>
          <w:color w:val="365F91" w:themeColor="accent1" w:themeShade="BF"/>
          <w:sz w:val="26"/>
          <w:szCs w:val="26"/>
        </w:rPr>
      </w:pPr>
      <w:r>
        <w:rPr>
          <w:rFonts w:ascii="Arial" w:hAnsi="Arial" w:cs="Arial"/>
          <w:b/>
          <w:color w:val="365F91" w:themeColor="accent1" w:themeShade="BF"/>
          <w:sz w:val="26"/>
          <w:szCs w:val="26"/>
        </w:rPr>
        <w:t>4</w:t>
      </w:r>
      <w:r w:rsidR="003C7084" w:rsidRPr="00D10D39">
        <w:rPr>
          <w:rFonts w:ascii="Arial" w:hAnsi="Arial" w:cs="Arial"/>
          <w:b/>
          <w:color w:val="365F91" w:themeColor="accent1" w:themeShade="BF"/>
          <w:sz w:val="26"/>
          <w:szCs w:val="26"/>
        </w:rPr>
        <w:t xml:space="preserve"> квартал 2014 года</w:t>
      </w:r>
    </w:p>
    <w:p w:rsidR="003C7084" w:rsidRPr="00D7176F" w:rsidRDefault="003C7084" w:rsidP="003C7084">
      <w:pPr>
        <w:rPr>
          <w:rFonts w:ascii="Arial" w:hAnsi="Arial" w:cs="Arial"/>
          <w:b/>
          <w:color w:val="244061" w:themeColor="accent1" w:themeShade="80"/>
          <w:sz w:val="28"/>
          <w:szCs w:val="28"/>
        </w:rPr>
      </w:pPr>
      <w:r w:rsidRPr="00D7176F">
        <w:rPr>
          <w:rFonts w:ascii="Arial" w:hAnsi="Arial" w:cs="Arial"/>
          <w:b/>
          <w:color w:val="244061" w:themeColor="accent1" w:themeShade="80"/>
          <w:sz w:val="28"/>
          <w:szCs w:val="28"/>
        </w:rPr>
        <w:t>ОБЗОР РЫНКА ЗАГОРОДНОЙ НЕДВИЖИМОСТИ</w:t>
      </w:r>
    </w:p>
    <w:p w:rsidR="003C7084" w:rsidRPr="00D7176F" w:rsidRDefault="003C7084" w:rsidP="003C7084">
      <w:pPr>
        <w:rPr>
          <w:rFonts w:ascii="Arial" w:hAnsi="Arial" w:cs="Arial"/>
          <w:color w:val="365F91" w:themeColor="accent1" w:themeShade="BF"/>
          <w:sz w:val="28"/>
          <w:szCs w:val="28"/>
        </w:rPr>
      </w:pPr>
      <w:r w:rsidRPr="00D7176F">
        <w:rPr>
          <w:rFonts w:ascii="Arial" w:hAnsi="Arial" w:cs="Arial"/>
          <w:color w:val="365F91" w:themeColor="accent1" w:themeShade="BF"/>
          <w:sz w:val="28"/>
          <w:szCs w:val="28"/>
        </w:rPr>
        <w:t>Тюмень</w:t>
      </w:r>
      <w:r w:rsidRPr="00D7176F">
        <w:rPr>
          <w:rStyle w:val="a5"/>
          <w:rFonts w:ascii="Arial" w:hAnsi="Arial" w:cs="Arial"/>
          <w:color w:val="365F91" w:themeColor="accent1" w:themeShade="BF"/>
          <w:sz w:val="28"/>
          <w:szCs w:val="28"/>
        </w:rPr>
        <w:footnoteReference w:id="2"/>
      </w:r>
    </w:p>
    <w:p w:rsidR="00056CE9" w:rsidRDefault="004E6B38" w:rsidP="003C7084">
      <w:pPr>
        <w:ind w:left="-1701"/>
      </w:pPr>
      <w:r>
        <w:rPr>
          <w:noProof/>
        </w:rPr>
        <w:drawing>
          <wp:inline distT="0" distB="0" distL="0" distR="0">
            <wp:extent cx="7553325" cy="5277643"/>
            <wp:effectExtent l="19050" t="0" r="9525" b="0"/>
            <wp:docPr id="4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5277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E2B" w:rsidRDefault="002B2B52" w:rsidP="002B2B52">
      <w:pPr>
        <w:pStyle w:val="af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 декабре 2014г. был выявлен нетипичный для этого периода пик по заявкам</w:t>
      </w:r>
      <w:r w:rsidR="009A68DE">
        <w:rPr>
          <w:rFonts w:ascii="Arial" w:hAnsi="Arial" w:cs="Arial"/>
          <w:sz w:val="20"/>
          <w:szCs w:val="20"/>
        </w:rPr>
        <w:t>, активность покупателей по сравнению с предыдущим месяцем увеличился в 1,4 раза.</w:t>
      </w:r>
    </w:p>
    <w:p w:rsidR="009A68DE" w:rsidRDefault="009A68DE" w:rsidP="002B2B52">
      <w:pPr>
        <w:pStyle w:val="af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 4 кв.2014г. установлено снижение объема предложения на 4,6%.</w:t>
      </w:r>
    </w:p>
    <w:p w:rsidR="009A68DE" w:rsidRDefault="009A68DE" w:rsidP="00606B80">
      <w:pPr>
        <w:pStyle w:val="af"/>
        <w:jc w:val="both"/>
        <w:rPr>
          <w:rFonts w:ascii="Arial" w:hAnsi="Arial" w:cs="Arial"/>
          <w:sz w:val="20"/>
          <w:szCs w:val="20"/>
        </w:rPr>
      </w:pPr>
    </w:p>
    <w:p w:rsidR="004A5BBF" w:rsidRPr="00280A0A" w:rsidRDefault="00056CE9" w:rsidP="00280A0A">
      <w:pPr>
        <w:pStyle w:val="af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>
        <w:br w:type="page"/>
      </w:r>
    </w:p>
    <w:p w:rsidR="00056CE9" w:rsidRPr="00C04FDE" w:rsidRDefault="001070DF" w:rsidP="00056CE9">
      <w:pPr>
        <w:spacing w:after="0" w:line="240" w:lineRule="auto"/>
        <w:ind w:left="-284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4</w:t>
      </w:r>
      <w:r w:rsidR="00056CE9" w:rsidRPr="00C04FDE">
        <w:rPr>
          <w:rFonts w:ascii="Arial" w:hAnsi="Arial" w:cs="Arial"/>
          <w:b/>
        </w:rPr>
        <w:t xml:space="preserve"> квартал 2014 года</w:t>
      </w:r>
    </w:p>
    <w:p w:rsidR="00056CE9" w:rsidRPr="00C04FDE" w:rsidRDefault="00056CE9" w:rsidP="00056CE9">
      <w:pPr>
        <w:spacing w:after="0" w:line="240" w:lineRule="auto"/>
        <w:ind w:left="-284"/>
        <w:rPr>
          <w:rFonts w:ascii="Arial" w:hAnsi="Arial" w:cs="Arial"/>
          <w:b/>
        </w:rPr>
      </w:pPr>
      <w:r w:rsidRPr="00C04FDE">
        <w:rPr>
          <w:rFonts w:ascii="Arial" w:hAnsi="Arial" w:cs="Arial"/>
          <w:b/>
        </w:rPr>
        <w:t>ОБЗОР РЫНКА ЗАГОРОДНОЙ НЕДВИЖИМОСТИ</w:t>
      </w:r>
    </w:p>
    <w:p w:rsidR="00056CE9" w:rsidRPr="00C04FDE" w:rsidRDefault="00056CE9" w:rsidP="00056CE9">
      <w:pPr>
        <w:spacing w:after="0" w:line="240" w:lineRule="auto"/>
        <w:ind w:left="-284"/>
        <w:rPr>
          <w:rFonts w:ascii="Arial" w:hAnsi="Arial" w:cs="Arial"/>
          <w:b/>
        </w:rPr>
      </w:pPr>
      <w:r w:rsidRPr="00C04FDE">
        <w:rPr>
          <w:rFonts w:ascii="Arial" w:hAnsi="Arial" w:cs="Arial"/>
          <w:b/>
        </w:rPr>
        <w:t>Тюмень</w:t>
      </w:r>
    </w:p>
    <w:p w:rsidR="00056CE9" w:rsidRPr="00C04FDE" w:rsidRDefault="00056CE9" w:rsidP="00056CE9">
      <w:pPr>
        <w:spacing w:after="0" w:line="240" w:lineRule="auto"/>
        <w:ind w:left="-284"/>
        <w:rPr>
          <w:rFonts w:ascii="Arial" w:hAnsi="Arial" w:cs="Arial"/>
          <w:b/>
        </w:rPr>
      </w:pPr>
    </w:p>
    <w:p w:rsidR="00056CE9" w:rsidRPr="004A5BBF" w:rsidRDefault="004A5BBF" w:rsidP="004A5BBF">
      <w:pPr>
        <w:pStyle w:val="1"/>
        <w:ind w:left="-284"/>
        <w:rPr>
          <w:rFonts w:ascii="Arial" w:hAnsi="Arial" w:cs="Arial"/>
          <w:color w:val="auto"/>
          <w:sz w:val="22"/>
          <w:szCs w:val="22"/>
        </w:rPr>
      </w:pPr>
      <w:bookmarkStart w:id="0" w:name="_Toc400983659"/>
      <w:bookmarkStart w:id="1" w:name="_Toc401047136"/>
      <w:r w:rsidRPr="004A5BBF">
        <w:rPr>
          <w:rFonts w:ascii="Arial" w:hAnsi="Arial" w:cs="Arial"/>
          <w:color w:val="auto"/>
          <w:sz w:val="22"/>
          <w:szCs w:val="22"/>
        </w:rPr>
        <w:t>1.</w:t>
      </w:r>
      <w:r>
        <w:rPr>
          <w:rFonts w:ascii="Arial" w:hAnsi="Arial" w:cs="Arial"/>
          <w:color w:val="auto"/>
          <w:sz w:val="22"/>
          <w:szCs w:val="22"/>
        </w:rPr>
        <w:t xml:space="preserve"> </w:t>
      </w:r>
      <w:r w:rsidR="00056CE9" w:rsidRPr="004A5BBF">
        <w:rPr>
          <w:rFonts w:ascii="Arial" w:hAnsi="Arial" w:cs="Arial"/>
          <w:color w:val="auto"/>
          <w:sz w:val="22"/>
          <w:szCs w:val="22"/>
        </w:rPr>
        <w:t>ОБЩАЯ СИТУАЦИЯ</w:t>
      </w:r>
      <w:bookmarkEnd w:id="0"/>
      <w:bookmarkEnd w:id="1"/>
    </w:p>
    <w:p w:rsidR="004A5BBF" w:rsidRDefault="004A5BBF" w:rsidP="006D0AB8">
      <w:pPr>
        <w:ind w:left="-284"/>
        <w:rPr>
          <w:rFonts w:ascii="Arial" w:hAnsi="Arial" w:cs="Arial"/>
          <w:b/>
          <w:sz w:val="20"/>
          <w:szCs w:val="20"/>
        </w:rPr>
      </w:pPr>
    </w:p>
    <w:p w:rsidR="00050841" w:rsidRPr="006D0AB8" w:rsidRDefault="006D0AB8" w:rsidP="006D0AB8">
      <w:pPr>
        <w:ind w:left="-284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Сезонность и о</w:t>
      </w:r>
      <w:r w:rsidR="00056CE9" w:rsidRPr="00D866FE">
        <w:rPr>
          <w:rFonts w:ascii="Arial" w:hAnsi="Arial" w:cs="Arial"/>
          <w:b/>
          <w:sz w:val="20"/>
          <w:szCs w:val="20"/>
        </w:rPr>
        <w:t>бъем предложения</w:t>
      </w:r>
    </w:p>
    <w:p w:rsidR="001070DF" w:rsidRDefault="0096048C" w:rsidP="0096048C">
      <w:pPr>
        <w:ind w:left="-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Отклоняясь от сезонности на рынке загородной недвижимости в декабре 2014г был выявлен пик по заявкам от покупателей, показатель по сравнению с предыдущем месяцем увеличился на 39,37%. Если сравнивать </w:t>
      </w:r>
      <w:r w:rsidR="00C1276C">
        <w:rPr>
          <w:rFonts w:ascii="Arial" w:hAnsi="Arial" w:cs="Arial"/>
          <w:sz w:val="20"/>
          <w:szCs w:val="20"/>
        </w:rPr>
        <w:t>с аналогичным периодом предыдущего года, снижение заявок в декабре 2013г. составило 36,9%.</w:t>
      </w:r>
    </w:p>
    <w:p w:rsidR="001070DF" w:rsidRDefault="00C1276C" w:rsidP="00C1276C">
      <w:pPr>
        <w:ind w:left="-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 4 кв.2014г. активность продавцов проявилась в ноябре, темп прироста к прошлому месяцу составил 34,4%, после чего показатель снизился на 11,2%.</w:t>
      </w:r>
    </w:p>
    <w:p w:rsidR="001070DF" w:rsidRDefault="001070DF" w:rsidP="00C1276C">
      <w:pPr>
        <w:jc w:val="center"/>
        <w:rPr>
          <w:rFonts w:ascii="Arial" w:hAnsi="Arial" w:cs="Arial"/>
          <w:sz w:val="20"/>
          <w:szCs w:val="20"/>
        </w:rPr>
      </w:pPr>
      <w:r w:rsidRPr="001070DF">
        <w:rPr>
          <w:rFonts w:ascii="Arial" w:hAnsi="Arial" w:cs="Arial"/>
          <w:sz w:val="20"/>
          <w:szCs w:val="20"/>
        </w:rPr>
        <w:drawing>
          <wp:inline distT="0" distB="0" distL="0" distR="0">
            <wp:extent cx="5286375" cy="2609850"/>
            <wp:effectExtent l="0" t="0" r="0" b="0"/>
            <wp:docPr id="1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1070DF" w:rsidRDefault="001070DF" w:rsidP="004C328F">
      <w:pPr>
        <w:jc w:val="both"/>
        <w:rPr>
          <w:rFonts w:ascii="Arial" w:hAnsi="Arial" w:cs="Arial"/>
          <w:sz w:val="20"/>
          <w:szCs w:val="20"/>
        </w:rPr>
      </w:pPr>
    </w:p>
    <w:p w:rsidR="001070DF" w:rsidRDefault="00E643A9" w:rsidP="004C328F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С</w:t>
      </w:r>
      <w:r w:rsidR="00C1276C">
        <w:rPr>
          <w:rFonts w:ascii="Arial" w:hAnsi="Arial" w:cs="Arial"/>
          <w:sz w:val="20"/>
          <w:szCs w:val="20"/>
        </w:rPr>
        <w:t>езонност</w:t>
      </w:r>
      <w:r>
        <w:rPr>
          <w:rFonts w:ascii="Arial" w:hAnsi="Arial" w:cs="Arial"/>
          <w:sz w:val="20"/>
          <w:szCs w:val="20"/>
        </w:rPr>
        <w:t>ь</w:t>
      </w:r>
      <w:r w:rsidR="00C1276C">
        <w:rPr>
          <w:rFonts w:ascii="Arial" w:hAnsi="Arial" w:cs="Arial"/>
          <w:sz w:val="20"/>
          <w:szCs w:val="20"/>
        </w:rPr>
        <w:t xml:space="preserve"> подтвержда</w:t>
      </w:r>
      <w:r>
        <w:rPr>
          <w:rFonts w:ascii="Arial" w:hAnsi="Arial" w:cs="Arial"/>
          <w:sz w:val="20"/>
          <w:szCs w:val="20"/>
        </w:rPr>
        <w:t>ется</w:t>
      </w:r>
      <w:r w:rsidR="00C1276C">
        <w:rPr>
          <w:rFonts w:ascii="Arial" w:hAnsi="Arial" w:cs="Arial"/>
          <w:sz w:val="20"/>
          <w:szCs w:val="20"/>
        </w:rPr>
        <w:t xml:space="preserve"> изменением объема предложения, котор</w:t>
      </w:r>
      <w:r>
        <w:rPr>
          <w:rFonts w:ascii="Arial" w:hAnsi="Arial" w:cs="Arial"/>
          <w:sz w:val="20"/>
          <w:szCs w:val="20"/>
        </w:rPr>
        <w:t>ый</w:t>
      </w:r>
      <w:r w:rsidR="00C1276C">
        <w:rPr>
          <w:rFonts w:ascii="Arial" w:hAnsi="Arial" w:cs="Arial"/>
          <w:sz w:val="20"/>
          <w:szCs w:val="20"/>
        </w:rPr>
        <w:t xml:space="preserve"> в 4кв.2014г. </w:t>
      </w:r>
      <w:r w:rsidR="00D50F07">
        <w:rPr>
          <w:rFonts w:ascii="Arial" w:hAnsi="Arial" w:cs="Arial"/>
          <w:sz w:val="20"/>
          <w:szCs w:val="20"/>
        </w:rPr>
        <w:t>составил более 11200 объектов загородной недвижимости, что на 4,6% меньше, чем в прошлом анализируемом периоде.</w:t>
      </w:r>
    </w:p>
    <w:p w:rsidR="001070DF" w:rsidRDefault="0096048C" w:rsidP="00D50F07">
      <w:pPr>
        <w:jc w:val="center"/>
        <w:rPr>
          <w:rFonts w:ascii="Arial" w:hAnsi="Arial" w:cs="Arial"/>
          <w:sz w:val="20"/>
          <w:szCs w:val="20"/>
        </w:rPr>
      </w:pPr>
      <w:r w:rsidRPr="0096048C">
        <w:rPr>
          <w:rFonts w:ascii="Arial" w:hAnsi="Arial" w:cs="Arial"/>
          <w:sz w:val="20"/>
          <w:szCs w:val="20"/>
        </w:rPr>
        <w:drawing>
          <wp:inline distT="0" distB="0" distL="0" distR="0">
            <wp:extent cx="5038724" cy="2486025"/>
            <wp:effectExtent l="0" t="0" r="0" b="0"/>
            <wp:docPr id="19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8B6E35" w:rsidRDefault="00D50F07" w:rsidP="004C328F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В 4 кв.2014г. основной объем предложения представлен земельными участками</w:t>
      </w:r>
      <w:r w:rsidR="008C1004">
        <w:rPr>
          <w:rFonts w:ascii="Arial" w:hAnsi="Arial" w:cs="Arial"/>
          <w:sz w:val="20"/>
          <w:szCs w:val="20"/>
        </w:rPr>
        <w:t xml:space="preserve"> - 49%, из них земли категории с/х назначения - 70,5% (или 34,5% в общем объеме предложения), земли поселений - 29,5% (14,5% в общем объеме предложения). На втором месте остаются дома - 23,8%, далее - дачи (16%), коттеджи - 10,2% и таунхаусы - 1,1%.</w:t>
      </w:r>
    </w:p>
    <w:p w:rsidR="00C45CAD" w:rsidRDefault="001070DF" w:rsidP="001070DF">
      <w:pPr>
        <w:spacing w:after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714875" cy="2857500"/>
            <wp:effectExtent l="19050" t="0" r="9525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C7A" w:rsidRDefault="00314C7A" w:rsidP="00F56332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Структура предложения в разрезе по направлениям существенно не измен</w:t>
      </w:r>
      <w:r w:rsidR="00DD72B1">
        <w:rPr>
          <w:rFonts w:ascii="Arial" w:hAnsi="Arial" w:cs="Arial"/>
          <w:sz w:val="20"/>
          <w:szCs w:val="20"/>
        </w:rPr>
        <w:t>илась</w:t>
      </w:r>
      <w:r>
        <w:rPr>
          <w:rFonts w:ascii="Arial" w:hAnsi="Arial" w:cs="Arial"/>
          <w:sz w:val="20"/>
          <w:szCs w:val="20"/>
        </w:rPr>
        <w:t xml:space="preserve"> по сравнению с 3 кв.2014г.: лидирующие позиции по наибольшему объему предложения остаются за Салаирским трактом - 22%, далее - Московский тракт (16%), черта города Тюмени - 15% и в порядке убывания.</w:t>
      </w:r>
    </w:p>
    <w:p w:rsidR="005D5383" w:rsidRDefault="005D5383" w:rsidP="00F56332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8C1004" w:rsidRDefault="008C1004" w:rsidP="00314C7A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8C1004">
        <w:rPr>
          <w:rFonts w:ascii="Arial" w:hAnsi="Arial" w:cs="Arial"/>
          <w:sz w:val="20"/>
          <w:szCs w:val="20"/>
        </w:rPr>
        <w:drawing>
          <wp:inline distT="0" distB="0" distL="0" distR="0">
            <wp:extent cx="5191125" cy="3076574"/>
            <wp:effectExtent l="0" t="0" r="0" b="0"/>
            <wp:docPr id="20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C45CAD" w:rsidRDefault="00C45CAD"/>
    <w:p w:rsidR="00C45CAD" w:rsidRDefault="00C45CAD">
      <w:r>
        <w:br w:type="page"/>
      </w:r>
    </w:p>
    <w:p w:rsidR="00771654" w:rsidRPr="004A5BBF" w:rsidRDefault="004A5BBF" w:rsidP="004A5BBF">
      <w:pPr>
        <w:pStyle w:val="1"/>
        <w:ind w:left="-284"/>
        <w:rPr>
          <w:rFonts w:ascii="Arial" w:hAnsi="Arial" w:cs="Arial"/>
          <w:color w:val="auto"/>
          <w:sz w:val="22"/>
          <w:szCs w:val="22"/>
        </w:rPr>
      </w:pPr>
      <w:bookmarkStart w:id="2" w:name="_Toc400983660"/>
      <w:bookmarkStart w:id="3" w:name="_Toc401047137"/>
      <w:r w:rsidRPr="004A5BBF">
        <w:rPr>
          <w:rFonts w:ascii="Arial" w:hAnsi="Arial" w:cs="Arial"/>
          <w:color w:val="auto"/>
          <w:sz w:val="22"/>
          <w:szCs w:val="22"/>
        </w:rPr>
        <w:lastRenderedPageBreak/>
        <w:t xml:space="preserve">2. </w:t>
      </w:r>
      <w:r w:rsidR="00771654" w:rsidRPr="004A5BBF">
        <w:rPr>
          <w:rFonts w:ascii="Arial" w:hAnsi="Arial" w:cs="Arial"/>
          <w:color w:val="auto"/>
          <w:sz w:val="22"/>
          <w:szCs w:val="22"/>
        </w:rPr>
        <w:t>ЗЕМЕЛЬНЫЕ УЧАСТКИ</w:t>
      </w:r>
      <w:bookmarkEnd w:id="2"/>
      <w:bookmarkEnd w:id="3"/>
    </w:p>
    <w:p w:rsidR="004A5BBF" w:rsidRDefault="004A5BBF" w:rsidP="00771654">
      <w:pPr>
        <w:ind w:left="-284"/>
        <w:rPr>
          <w:rFonts w:ascii="Arial" w:hAnsi="Arial" w:cs="Arial"/>
          <w:b/>
          <w:sz w:val="20"/>
          <w:szCs w:val="20"/>
        </w:rPr>
      </w:pPr>
    </w:p>
    <w:p w:rsidR="00771654" w:rsidRPr="00D866FE" w:rsidRDefault="00771654" w:rsidP="00771654">
      <w:pPr>
        <w:ind w:left="-284"/>
        <w:rPr>
          <w:rFonts w:ascii="Arial" w:hAnsi="Arial" w:cs="Arial"/>
          <w:b/>
          <w:sz w:val="20"/>
          <w:szCs w:val="20"/>
        </w:rPr>
      </w:pPr>
      <w:r w:rsidRPr="00D866FE">
        <w:rPr>
          <w:rFonts w:ascii="Arial" w:hAnsi="Arial" w:cs="Arial"/>
          <w:b/>
          <w:sz w:val="20"/>
          <w:szCs w:val="20"/>
        </w:rPr>
        <w:t>Объем предложения</w:t>
      </w:r>
    </w:p>
    <w:p w:rsidR="00AA125E" w:rsidRDefault="00DD72B1" w:rsidP="00AA125E">
      <w:pPr>
        <w:ind w:left="-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Превалирующи</w:t>
      </w:r>
      <w:r w:rsidR="00E560EB">
        <w:rPr>
          <w:rFonts w:ascii="Arial" w:hAnsi="Arial" w:cs="Arial"/>
          <w:sz w:val="20"/>
          <w:szCs w:val="20"/>
        </w:rPr>
        <w:t>й объем предложения земельных участок в разрезе по направлениям распределился следующим образом: на первом месте - Салаирский тракт (27%), на втором - Московский тракт - 18%, далее Велижанский тракт (</w:t>
      </w:r>
      <w:r w:rsidR="00F95168">
        <w:rPr>
          <w:rFonts w:ascii="Arial" w:hAnsi="Arial" w:cs="Arial"/>
          <w:sz w:val="20"/>
          <w:szCs w:val="20"/>
        </w:rPr>
        <w:t xml:space="preserve">13%) и </w:t>
      </w:r>
      <w:r>
        <w:rPr>
          <w:rFonts w:ascii="Arial" w:hAnsi="Arial" w:cs="Arial"/>
          <w:sz w:val="20"/>
          <w:szCs w:val="20"/>
        </w:rPr>
        <w:t>др</w:t>
      </w:r>
      <w:r w:rsidR="00F95168">
        <w:rPr>
          <w:rFonts w:ascii="Arial" w:hAnsi="Arial" w:cs="Arial"/>
          <w:sz w:val="20"/>
          <w:szCs w:val="20"/>
        </w:rPr>
        <w:t>.</w:t>
      </w:r>
    </w:p>
    <w:p w:rsidR="00F95168" w:rsidRDefault="00F95168" w:rsidP="00AA125E">
      <w:pPr>
        <w:ind w:left="-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С учетом категории земель также выделяется Салаирский тракт (26% и 27% на земли с/х назначения и земли поселений соответственно).</w:t>
      </w:r>
    </w:p>
    <w:p w:rsidR="00E560EB" w:rsidRDefault="00E560EB" w:rsidP="00E560EB">
      <w:pPr>
        <w:ind w:left="-284"/>
        <w:jc w:val="center"/>
        <w:rPr>
          <w:rFonts w:ascii="Arial" w:hAnsi="Arial" w:cs="Arial"/>
          <w:sz w:val="20"/>
          <w:szCs w:val="20"/>
        </w:rPr>
      </w:pPr>
      <w:r w:rsidRPr="00E560EB">
        <w:rPr>
          <w:rFonts w:ascii="Arial" w:hAnsi="Arial" w:cs="Arial"/>
          <w:sz w:val="20"/>
          <w:szCs w:val="20"/>
        </w:rPr>
        <w:drawing>
          <wp:inline distT="0" distB="0" distL="0" distR="0">
            <wp:extent cx="4400550" cy="2600325"/>
            <wp:effectExtent l="0" t="0" r="0" b="0"/>
            <wp:docPr id="2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332CA6" w:rsidRPr="00AA125E" w:rsidRDefault="00332CA6" w:rsidP="00E560EB">
      <w:pPr>
        <w:ind w:left="-284"/>
        <w:jc w:val="center"/>
        <w:rPr>
          <w:rFonts w:ascii="Arial" w:hAnsi="Arial" w:cs="Arial"/>
          <w:sz w:val="20"/>
          <w:szCs w:val="20"/>
        </w:rPr>
      </w:pPr>
    </w:p>
    <w:p w:rsidR="00DE5912" w:rsidRDefault="00E560EB" w:rsidP="00DE5912">
      <w:pPr>
        <w:jc w:val="center"/>
      </w:pPr>
      <w:r w:rsidRPr="00E560EB">
        <w:drawing>
          <wp:inline distT="0" distB="0" distL="0" distR="0">
            <wp:extent cx="4162425" cy="2733675"/>
            <wp:effectExtent l="0" t="0" r="0" b="0"/>
            <wp:docPr id="24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F95168" w:rsidRDefault="00DD72B1" w:rsidP="00DD72B1">
      <w:pPr>
        <w:jc w:val="both"/>
        <w:rPr>
          <w:rFonts w:ascii="Arial" w:hAnsi="Arial" w:cs="Arial"/>
          <w:sz w:val="20"/>
          <w:szCs w:val="20"/>
        </w:rPr>
      </w:pPr>
      <w:r w:rsidRPr="00DD72B1">
        <w:rPr>
          <w:rFonts w:ascii="Arial" w:hAnsi="Arial" w:cs="Arial"/>
          <w:sz w:val="20"/>
          <w:szCs w:val="20"/>
        </w:rPr>
        <w:t xml:space="preserve">74% земель в категории с/х назначения </w:t>
      </w:r>
      <w:r>
        <w:rPr>
          <w:rFonts w:ascii="Arial" w:hAnsi="Arial" w:cs="Arial"/>
          <w:sz w:val="20"/>
          <w:szCs w:val="20"/>
        </w:rPr>
        <w:t>предлагаются с разрешенным использованием для садоводства и огородничества, 20% - для ведения личного подсобного хозяйства и всего 6% - для ведения с/х деятельности.</w:t>
      </w:r>
    </w:p>
    <w:p w:rsidR="00DD72B1" w:rsidRPr="00DD72B1" w:rsidRDefault="00DD72B1" w:rsidP="00DD72B1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Земли поселений представлены в основном с разрешенным использованием под ИЖС, ЛПХ и СиО</w:t>
      </w:r>
      <w:r w:rsidR="0061232A">
        <w:rPr>
          <w:rFonts w:ascii="Arial" w:hAnsi="Arial" w:cs="Arial"/>
          <w:sz w:val="20"/>
          <w:szCs w:val="20"/>
        </w:rPr>
        <w:t>. Всего 1% - для с/х деятельности.</w:t>
      </w:r>
    </w:p>
    <w:tbl>
      <w:tblPr>
        <w:tblStyle w:val="ac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66"/>
        <w:gridCol w:w="5106"/>
      </w:tblGrid>
      <w:tr w:rsidR="00522941" w:rsidTr="00DA08CC">
        <w:tc>
          <w:tcPr>
            <w:tcW w:w="5676" w:type="dxa"/>
          </w:tcPr>
          <w:p w:rsidR="00522941" w:rsidRDefault="00DA08CC" w:rsidP="00F9516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A08CC">
              <w:rPr>
                <w:rFonts w:ascii="Arial" w:hAnsi="Arial" w:cs="Arial"/>
                <w:b/>
                <w:sz w:val="20"/>
                <w:szCs w:val="20"/>
              </w:rPr>
              <w:lastRenderedPageBreak/>
              <w:drawing>
                <wp:inline distT="0" distB="0" distL="0" distR="0">
                  <wp:extent cx="3400425" cy="2076450"/>
                  <wp:effectExtent l="0" t="0" r="0" b="0"/>
                  <wp:docPr id="27" name="Диаграмма 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</wp:inline>
              </w:drawing>
            </w:r>
          </w:p>
        </w:tc>
        <w:tc>
          <w:tcPr>
            <w:tcW w:w="4247" w:type="dxa"/>
          </w:tcPr>
          <w:p w:rsidR="00522941" w:rsidRDefault="00DA08CC" w:rsidP="00F9516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A08CC">
              <w:rPr>
                <w:rFonts w:ascii="Arial" w:hAnsi="Arial" w:cs="Arial"/>
                <w:b/>
                <w:sz w:val="20"/>
                <w:szCs w:val="20"/>
              </w:rPr>
              <w:drawing>
                <wp:inline distT="0" distB="0" distL="0" distR="0">
                  <wp:extent cx="3429000" cy="2076450"/>
                  <wp:effectExtent l="0" t="0" r="0" b="0"/>
                  <wp:docPr id="28" name="Диаграмма 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6"/>
                    </a:graphicData>
                  </a:graphic>
                </wp:inline>
              </w:drawing>
            </w:r>
          </w:p>
        </w:tc>
      </w:tr>
    </w:tbl>
    <w:p w:rsidR="00522941" w:rsidRDefault="00522941" w:rsidP="00F95168">
      <w:pPr>
        <w:rPr>
          <w:rFonts w:ascii="Arial" w:hAnsi="Arial" w:cs="Arial"/>
          <w:b/>
          <w:sz w:val="20"/>
          <w:szCs w:val="20"/>
        </w:rPr>
      </w:pPr>
    </w:p>
    <w:p w:rsidR="00AA125E" w:rsidRDefault="00AA125E" w:rsidP="00F95168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Ценовая ситуация</w:t>
      </w:r>
    </w:p>
    <w:p w:rsidR="00E2651D" w:rsidRDefault="00F95168" w:rsidP="0061232A">
      <w:pPr>
        <w:ind w:left="-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Удельная цена предложения земельных участков в 4 кв.2014г. сложилась на уровне 83942 руб./сот., темп прироста к прошлому кварталу составил </w:t>
      </w:r>
      <w:r w:rsidR="008C6427">
        <w:rPr>
          <w:rFonts w:ascii="Arial" w:hAnsi="Arial" w:cs="Arial"/>
          <w:sz w:val="20"/>
          <w:szCs w:val="20"/>
        </w:rPr>
        <w:t xml:space="preserve">1,9%(↓). В целом, </w:t>
      </w:r>
      <w:r w:rsidR="0061232A">
        <w:rPr>
          <w:rFonts w:ascii="Arial" w:hAnsi="Arial" w:cs="Arial"/>
          <w:sz w:val="20"/>
          <w:szCs w:val="20"/>
        </w:rPr>
        <w:t>с начала 2 квартала</w:t>
      </w:r>
      <w:r w:rsidR="008C6427">
        <w:rPr>
          <w:rFonts w:ascii="Arial" w:hAnsi="Arial" w:cs="Arial"/>
          <w:sz w:val="20"/>
          <w:szCs w:val="20"/>
        </w:rPr>
        <w:t xml:space="preserve"> наблюдается отрицательная тенденция, средний темп прироста в 2014г. - 0,14%(↓).</w:t>
      </w:r>
    </w:p>
    <w:p w:rsidR="00F95168" w:rsidRDefault="00F95168" w:rsidP="00F95168">
      <w:pPr>
        <w:ind w:left="-284"/>
        <w:jc w:val="center"/>
        <w:rPr>
          <w:rFonts w:ascii="Arial" w:hAnsi="Arial" w:cs="Arial"/>
          <w:b/>
          <w:sz w:val="20"/>
          <w:szCs w:val="20"/>
        </w:rPr>
      </w:pPr>
      <w:r w:rsidRPr="00F95168">
        <w:rPr>
          <w:rFonts w:ascii="Arial" w:hAnsi="Arial" w:cs="Arial"/>
          <w:b/>
          <w:sz w:val="20"/>
          <w:szCs w:val="20"/>
        </w:rPr>
        <w:drawing>
          <wp:inline distT="0" distB="0" distL="0" distR="0">
            <wp:extent cx="4181475" cy="2352675"/>
            <wp:effectExtent l="0" t="0" r="0" b="0"/>
            <wp:docPr id="26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765627" w:rsidRPr="00771690" w:rsidRDefault="00771690" w:rsidP="00BE5538">
      <w:pPr>
        <w:ind w:left="-284"/>
        <w:jc w:val="both"/>
        <w:rPr>
          <w:rFonts w:ascii="Arial" w:hAnsi="Arial" w:cs="Arial"/>
          <w:sz w:val="20"/>
          <w:szCs w:val="20"/>
        </w:rPr>
      </w:pPr>
      <w:r w:rsidRPr="00771690">
        <w:rPr>
          <w:rFonts w:ascii="Arial" w:hAnsi="Arial" w:cs="Arial"/>
          <w:sz w:val="20"/>
          <w:szCs w:val="20"/>
        </w:rPr>
        <w:t xml:space="preserve">В 4 кв.2014г. </w:t>
      </w:r>
      <w:r>
        <w:rPr>
          <w:rFonts w:ascii="Arial" w:hAnsi="Arial" w:cs="Arial"/>
          <w:sz w:val="20"/>
          <w:szCs w:val="20"/>
        </w:rPr>
        <w:t>в разрезе по направлениям удельная цена предложения земельных участков категории с/х назначения составила 50659 руб</w:t>
      </w:r>
      <w:r w:rsidR="00BE5538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/сот.</w:t>
      </w:r>
      <w:r w:rsidR="00BE5538">
        <w:rPr>
          <w:rFonts w:ascii="Arial" w:hAnsi="Arial" w:cs="Arial"/>
          <w:sz w:val="20"/>
          <w:szCs w:val="20"/>
        </w:rPr>
        <w:t>, категории земли поселений - 101188 руб./сот.</w:t>
      </w:r>
    </w:p>
    <w:p w:rsidR="00AF109A" w:rsidRDefault="00AF109A" w:rsidP="00F95168">
      <w:pPr>
        <w:ind w:left="-284"/>
        <w:jc w:val="center"/>
        <w:rPr>
          <w:rFonts w:ascii="Arial" w:hAnsi="Arial" w:cs="Arial"/>
          <w:b/>
          <w:sz w:val="20"/>
          <w:szCs w:val="20"/>
        </w:rPr>
      </w:pPr>
      <w:r w:rsidRPr="00AF109A">
        <w:rPr>
          <w:rFonts w:ascii="Arial" w:hAnsi="Arial" w:cs="Arial"/>
          <w:b/>
          <w:sz w:val="20"/>
          <w:szCs w:val="20"/>
        </w:rPr>
        <w:drawing>
          <wp:inline distT="0" distB="0" distL="0" distR="0">
            <wp:extent cx="4362450" cy="2209800"/>
            <wp:effectExtent l="0" t="0" r="0" b="0"/>
            <wp:docPr id="29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065F50" w:rsidRDefault="009A68DE" w:rsidP="00BE5538">
      <w:pPr>
        <w:ind w:left="-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Удельная цена предложения земельных участков с назначением "ЛПХ" в категории земли поселений в два раза превышает </w:t>
      </w:r>
      <w:r w:rsidR="00065F50">
        <w:rPr>
          <w:rFonts w:ascii="Arial" w:hAnsi="Arial" w:cs="Arial"/>
          <w:sz w:val="20"/>
          <w:szCs w:val="20"/>
        </w:rPr>
        <w:t xml:space="preserve">участки с аналогичным назначением в категории с/х назначения. </w:t>
      </w:r>
    </w:p>
    <w:p w:rsidR="00AF109A" w:rsidRPr="00BE5538" w:rsidRDefault="00065F50" w:rsidP="00BE5538">
      <w:pPr>
        <w:ind w:left="-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Средняя цена за сотку земель с назначением ИЖС в 4 кв.2014г.</w:t>
      </w:r>
      <w:r w:rsidR="009A68D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сложилась на уровне 157 004 руб.</w:t>
      </w:r>
    </w:p>
    <w:tbl>
      <w:tblPr>
        <w:tblStyle w:val="ac"/>
        <w:tblW w:w="11172" w:type="dxa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46"/>
        <w:gridCol w:w="5556"/>
      </w:tblGrid>
      <w:tr w:rsidR="00AF109A" w:rsidTr="00765627">
        <w:tc>
          <w:tcPr>
            <w:tcW w:w="5646" w:type="dxa"/>
          </w:tcPr>
          <w:p w:rsidR="00AF109A" w:rsidRDefault="00AF109A" w:rsidP="00F9516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F109A">
              <w:rPr>
                <w:rFonts w:ascii="Arial" w:hAnsi="Arial" w:cs="Arial"/>
                <w:b/>
                <w:sz w:val="20"/>
                <w:szCs w:val="20"/>
              </w:rPr>
              <w:drawing>
                <wp:inline distT="0" distB="0" distL="0" distR="0">
                  <wp:extent cx="3448050" cy="2333625"/>
                  <wp:effectExtent l="0" t="0" r="0" b="0"/>
                  <wp:docPr id="30" name="Диаграмма 1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"/>
                    </a:graphicData>
                  </a:graphic>
                </wp:inline>
              </w:drawing>
            </w:r>
          </w:p>
        </w:tc>
        <w:tc>
          <w:tcPr>
            <w:tcW w:w="5526" w:type="dxa"/>
          </w:tcPr>
          <w:p w:rsidR="00AF109A" w:rsidRDefault="00765627" w:rsidP="00F9516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65627">
              <w:rPr>
                <w:rFonts w:ascii="Arial" w:hAnsi="Arial" w:cs="Arial"/>
                <w:b/>
                <w:sz w:val="20"/>
                <w:szCs w:val="20"/>
              </w:rPr>
              <w:drawing>
                <wp:inline distT="0" distB="0" distL="0" distR="0">
                  <wp:extent cx="3371850" cy="2247900"/>
                  <wp:effectExtent l="19050" t="0" r="0" b="0"/>
                  <wp:docPr id="31" name="Диаграмма 1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0"/>
                    </a:graphicData>
                  </a:graphic>
                </wp:inline>
              </w:drawing>
            </w:r>
          </w:p>
        </w:tc>
      </w:tr>
    </w:tbl>
    <w:p w:rsidR="00AF109A" w:rsidRDefault="00AF109A" w:rsidP="00F95168">
      <w:pPr>
        <w:ind w:left="-284"/>
        <w:jc w:val="center"/>
        <w:rPr>
          <w:rFonts w:ascii="Arial" w:hAnsi="Arial" w:cs="Arial"/>
          <w:b/>
          <w:sz w:val="20"/>
          <w:szCs w:val="20"/>
        </w:rPr>
      </w:pPr>
    </w:p>
    <w:p w:rsidR="00607478" w:rsidRPr="004A5BBF" w:rsidRDefault="00607478" w:rsidP="00607478">
      <w:pPr>
        <w:pStyle w:val="1"/>
        <w:ind w:left="-284"/>
        <w:rPr>
          <w:rFonts w:ascii="Arial" w:hAnsi="Arial" w:cs="Arial"/>
          <w:color w:val="auto"/>
          <w:sz w:val="22"/>
          <w:szCs w:val="22"/>
        </w:rPr>
      </w:pPr>
      <w:bookmarkStart w:id="4" w:name="_Toc401047139"/>
      <w:bookmarkStart w:id="5" w:name="_Toc401047138"/>
      <w:r>
        <w:rPr>
          <w:rFonts w:ascii="Arial" w:hAnsi="Arial" w:cs="Arial"/>
          <w:color w:val="auto"/>
          <w:sz w:val="22"/>
          <w:szCs w:val="22"/>
        </w:rPr>
        <w:t>3</w:t>
      </w:r>
      <w:r w:rsidRPr="004A5BBF">
        <w:rPr>
          <w:rFonts w:ascii="Arial" w:hAnsi="Arial" w:cs="Arial"/>
          <w:color w:val="auto"/>
          <w:sz w:val="22"/>
          <w:szCs w:val="22"/>
        </w:rPr>
        <w:t>. ДОМА</w:t>
      </w:r>
      <w:bookmarkEnd w:id="4"/>
    </w:p>
    <w:p w:rsidR="00607478" w:rsidRDefault="00607478" w:rsidP="00607478">
      <w:pPr>
        <w:ind w:left="-284"/>
        <w:rPr>
          <w:rFonts w:ascii="Arial" w:hAnsi="Arial" w:cs="Arial"/>
          <w:b/>
          <w:sz w:val="20"/>
          <w:szCs w:val="20"/>
        </w:rPr>
      </w:pPr>
    </w:p>
    <w:p w:rsidR="00607478" w:rsidRDefault="00607478" w:rsidP="00607478">
      <w:pPr>
        <w:ind w:left="-284"/>
        <w:rPr>
          <w:rFonts w:ascii="Arial" w:hAnsi="Arial" w:cs="Arial"/>
          <w:b/>
          <w:sz w:val="20"/>
          <w:szCs w:val="20"/>
        </w:rPr>
      </w:pPr>
      <w:r w:rsidRPr="00D866FE">
        <w:rPr>
          <w:rFonts w:ascii="Arial" w:hAnsi="Arial" w:cs="Arial"/>
          <w:b/>
          <w:sz w:val="20"/>
          <w:szCs w:val="20"/>
        </w:rPr>
        <w:t>Объем предложения</w:t>
      </w:r>
    </w:p>
    <w:p w:rsidR="00332CA6" w:rsidRDefault="00332CA6" w:rsidP="0089756B">
      <w:pPr>
        <w:spacing w:after="0"/>
        <w:ind w:left="-284"/>
        <w:jc w:val="both"/>
        <w:rPr>
          <w:rFonts w:ascii="Arial" w:hAnsi="Arial" w:cs="Arial"/>
          <w:sz w:val="20"/>
          <w:szCs w:val="20"/>
        </w:rPr>
      </w:pPr>
      <w:r w:rsidRPr="00332CA6">
        <w:rPr>
          <w:rFonts w:ascii="Arial" w:hAnsi="Arial" w:cs="Arial"/>
          <w:sz w:val="20"/>
          <w:szCs w:val="20"/>
        </w:rPr>
        <w:t>Превалирующий объем предложения домов представлен в черте города - 27%, на втором месте - Московский тракт (12%), на третьем - Червишевский тракт с долей 10% в общем объеме предложения и далее в порядке убывания.</w:t>
      </w:r>
    </w:p>
    <w:p w:rsidR="00332CA6" w:rsidRDefault="00332CA6" w:rsidP="0089756B">
      <w:pPr>
        <w:spacing w:after="0"/>
        <w:ind w:left="-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 4 кв.2014г по сравнению с предыдущим кварталом существенно увеличился объем предложения домов в направления</w:t>
      </w:r>
      <w:r w:rsidR="005024C1">
        <w:rPr>
          <w:rFonts w:ascii="Arial" w:hAnsi="Arial" w:cs="Arial"/>
          <w:sz w:val="20"/>
          <w:szCs w:val="20"/>
        </w:rPr>
        <w:t>х Тобольского и Старого Тобольского трактов - 18,3% и 14,1% соответственно. В районе Ирбитского тракта изменений не выявлено.</w:t>
      </w:r>
    </w:p>
    <w:p w:rsidR="005024C1" w:rsidRPr="00332CA6" w:rsidRDefault="005024C1" w:rsidP="0089756B">
      <w:pPr>
        <w:spacing w:after="0"/>
        <w:ind w:left="-284"/>
        <w:jc w:val="both"/>
        <w:rPr>
          <w:rFonts w:ascii="Arial" w:hAnsi="Arial" w:cs="Arial"/>
          <w:sz w:val="20"/>
          <w:szCs w:val="20"/>
        </w:rPr>
      </w:pPr>
    </w:p>
    <w:p w:rsidR="00607478" w:rsidRDefault="00332CA6" w:rsidP="00607478">
      <w:pPr>
        <w:jc w:val="center"/>
        <w:rPr>
          <w:b/>
        </w:rPr>
      </w:pPr>
      <w:r w:rsidRPr="00332CA6">
        <w:rPr>
          <w:b/>
        </w:rPr>
        <w:drawing>
          <wp:inline distT="0" distB="0" distL="0" distR="0">
            <wp:extent cx="5191125" cy="3076574"/>
            <wp:effectExtent l="0" t="0" r="0" b="0"/>
            <wp:docPr id="32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607478" w:rsidRDefault="00607478" w:rsidP="00607478">
      <w:pPr>
        <w:ind w:left="-284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Ценовая ситуация</w:t>
      </w:r>
    </w:p>
    <w:p w:rsidR="00607478" w:rsidRPr="00C77635" w:rsidRDefault="005024C1" w:rsidP="00607478">
      <w:pPr>
        <w:spacing w:after="0"/>
        <w:ind w:left="-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Средняя цена 1 кв.м. домов в 4 кв.2014г. составила 37167 руб./кв.м., темп прироста к 3 кв.2014г. - 2,2% (↓).</w:t>
      </w:r>
    </w:p>
    <w:p w:rsidR="00607478" w:rsidRDefault="005024C1" w:rsidP="00607478">
      <w:pPr>
        <w:jc w:val="center"/>
        <w:rPr>
          <w:b/>
        </w:rPr>
      </w:pPr>
      <w:r w:rsidRPr="005024C1">
        <w:rPr>
          <w:b/>
        </w:rPr>
        <w:lastRenderedPageBreak/>
        <w:drawing>
          <wp:inline distT="0" distB="0" distL="0" distR="0">
            <wp:extent cx="4086225" cy="2143125"/>
            <wp:effectExtent l="0" t="0" r="0" b="0"/>
            <wp:docPr id="33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5024C1" w:rsidRPr="005024C1" w:rsidRDefault="005024C1" w:rsidP="00DB7615">
      <w:pPr>
        <w:jc w:val="both"/>
        <w:rPr>
          <w:rFonts w:ascii="Arial" w:hAnsi="Arial" w:cs="Arial"/>
          <w:sz w:val="20"/>
          <w:szCs w:val="20"/>
        </w:rPr>
      </w:pPr>
      <w:r w:rsidRPr="005024C1">
        <w:rPr>
          <w:rFonts w:ascii="Arial" w:hAnsi="Arial" w:cs="Arial"/>
          <w:sz w:val="20"/>
          <w:szCs w:val="20"/>
        </w:rPr>
        <w:t xml:space="preserve">Наибольшее изменение средней полной цены за рассматриваемый период </w:t>
      </w:r>
      <w:r>
        <w:rPr>
          <w:rFonts w:ascii="Arial" w:hAnsi="Arial" w:cs="Arial"/>
          <w:sz w:val="20"/>
          <w:szCs w:val="20"/>
        </w:rPr>
        <w:t>установлено в направлениях Червишевского, Ирбитского и Велижанского трактов, темп прироста к 3 кв.2014г. составил 7,9%</w:t>
      </w:r>
      <w:r w:rsidR="00DB7615">
        <w:rPr>
          <w:rFonts w:ascii="Arial" w:hAnsi="Arial" w:cs="Arial"/>
          <w:sz w:val="20"/>
          <w:szCs w:val="20"/>
        </w:rPr>
        <w:t xml:space="preserve"> и 5,8% соответственно</w:t>
      </w:r>
      <w:r>
        <w:rPr>
          <w:rFonts w:ascii="Arial" w:hAnsi="Arial" w:cs="Arial"/>
          <w:sz w:val="20"/>
          <w:szCs w:val="20"/>
        </w:rPr>
        <w:t xml:space="preserve"> (↑).</w:t>
      </w:r>
    </w:p>
    <w:p w:rsidR="007B4D32" w:rsidRDefault="00607478" w:rsidP="007B4D32">
      <w:pPr>
        <w:pStyle w:val="1"/>
        <w:ind w:left="-284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4</w:t>
      </w:r>
      <w:r w:rsidR="007B4D32" w:rsidRPr="00D64DCA">
        <w:rPr>
          <w:rFonts w:ascii="Arial" w:hAnsi="Arial" w:cs="Arial"/>
          <w:color w:val="auto"/>
          <w:sz w:val="22"/>
          <w:szCs w:val="22"/>
        </w:rPr>
        <w:t>. ДАЧИ</w:t>
      </w:r>
      <w:bookmarkEnd w:id="5"/>
    </w:p>
    <w:p w:rsidR="007B4D32" w:rsidRPr="007B4D32" w:rsidRDefault="007B4D32" w:rsidP="007B4D32"/>
    <w:p w:rsidR="007B4D32" w:rsidRDefault="007B4D32" w:rsidP="007B4D32">
      <w:pPr>
        <w:ind w:left="-284"/>
        <w:rPr>
          <w:rFonts w:ascii="Arial" w:hAnsi="Arial" w:cs="Arial"/>
          <w:b/>
          <w:sz w:val="20"/>
          <w:szCs w:val="20"/>
        </w:rPr>
      </w:pPr>
      <w:r w:rsidRPr="00D866FE">
        <w:rPr>
          <w:rFonts w:ascii="Arial" w:hAnsi="Arial" w:cs="Arial"/>
          <w:b/>
          <w:sz w:val="20"/>
          <w:szCs w:val="20"/>
        </w:rPr>
        <w:t>Объем предложения</w:t>
      </w:r>
    </w:p>
    <w:p w:rsidR="00354D28" w:rsidRDefault="00490E2D" w:rsidP="007B4D32">
      <w:pPr>
        <w:ind w:left="-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 4 кв.2014г. объем предложения дач составил порядка 1800 объектов, темп прироста к предыдущему кварталу - 8,7% (</w:t>
      </w:r>
      <w:r w:rsidRPr="00490E2D">
        <w:rPr>
          <w:rFonts w:ascii="Arial" w:hAnsi="Arial" w:cs="Arial"/>
          <w:sz w:val="20"/>
          <w:szCs w:val="20"/>
        </w:rPr>
        <w:t>↓)</w:t>
      </w:r>
      <w:r>
        <w:rPr>
          <w:rFonts w:ascii="Arial" w:hAnsi="Arial" w:cs="Arial"/>
          <w:sz w:val="20"/>
          <w:szCs w:val="20"/>
        </w:rPr>
        <w:t>. превалирующий объем предложения сосредоточен в районе Салаирского тракта</w:t>
      </w:r>
      <w:r w:rsidR="003A50CD">
        <w:rPr>
          <w:rFonts w:ascii="Arial" w:hAnsi="Arial" w:cs="Arial"/>
          <w:sz w:val="20"/>
          <w:szCs w:val="20"/>
        </w:rPr>
        <w:t xml:space="preserve"> (31%), наименьший - по Ирбитскому и Старому Тобольскому тракту (1% и 0,17% соответственно).</w:t>
      </w:r>
    </w:p>
    <w:p w:rsidR="003A50CD" w:rsidRDefault="003A50CD" w:rsidP="007B4D32">
      <w:pPr>
        <w:ind w:left="-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 рассматриваемом периоде установлен высокий спрос на дачи, в связи с чем произошло снижение объема предложения практически по всем направлениям (кроме Ирбитского и Старого Тобольского трактов), наибольшее изменение прослеживается в направлении Тобольского тракта - 17,3% (↓).</w:t>
      </w:r>
    </w:p>
    <w:p w:rsidR="00354D28" w:rsidRPr="007B4D32" w:rsidRDefault="00490E2D" w:rsidP="00490E2D">
      <w:pPr>
        <w:ind w:left="-284"/>
        <w:jc w:val="center"/>
        <w:rPr>
          <w:rFonts w:ascii="Arial" w:hAnsi="Arial" w:cs="Arial"/>
          <w:sz w:val="20"/>
          <w:szCs w:val="20"/>
        </w:rPr>
      </w:pPr>
      <w:r w:rsidRPr="00490E2D">
        <w:rPr>
          <w:rFonts w:ascii="Arial" w:hAnsi="Arial" w:cs="Arial"/>
          <w:sz w:val="20"/>
          <w:szCs w:val="20"/>
        </w:rPr>
        <w:drawing>
          <wp:inline distT="0" distB="0" distL="0" distR="0">
            <wp:extent cx="5191125" cy="3076574"/>
            <wp:effectExtent l="0" t="0" r="0" b="0"/>
            <wp:docPr id="34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7B4D32" w:rsidRDefault="007B4D32" w:rsidP="009D5B34">
      <w:pPr>
        <w:jc w:val="center"/>
        <w:rPr>
          <w:b/>
        </w:rPr>
      </w:pPr>
    </w:p>
    <w:p w:rsidR="00037838" w:rsidRDefault="00037838" w:rsidP="003D0C85">
      <w:pPr>
        <w:ind w:left="-284"/>
        <w:rPr>
          <w:rFonts w:ascii="Arial" w:hAnsi="Arial" w:cs="Arial"/>
          <w:b/>
          <w:sz w:val="20"/>
          <w:szCs w:val="20"/>
        </w:rPr>
      </w:pPr>
    </w:p>
    <w:p w:rsidR="003D0C85" w:rsidRDefault="003D0C85" w:rsidP="003D0C85">
      <w:pPr>
        <w:ind w:left="-284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Ценовая ситуация</w:t>
      </w:r>
    </w:p>
    <w:p w:rsidR="00037838" w:rsidRPr="003D0C85" w:rsidRDefault="003A50CD" w:rsidP="00E877C6">
      <w:pPr>
        <w:spacing w:after="0"/>
        <w:ind w:left="-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Удельная цена предложения дач в 4 кв.2014г. </w:t>
      </w:r>
      <w:r w:rsidR="004B5BA0">
        <w:rPr>
          <w:rFonts w:ascii="Arial" w:hAnsi="Arial" w:cs="Arial"/>
          <w:sz w:val="20"/>
          <w:szCs w:val="20"/>
        </w:rPr>
        <w:t>снизилась на 3,7% по сравнению в 3 кв.2014г. и составила 28071 руб./кв.м.</w:t>
      </w:r>
    </w:p>
    <w:p w:rsidR="003A50CD" w:rsidRDefault="003A50CD" w:rsidP="003A50CD">
      <w:pPr>
        <w:tabs>
          <w:tab w:val="left" w:pos="3105"/>
        </w:tabs>
        <w:jc w:val="center"/>
        <w:rPr>
          <w:noProof/>
        </w:rPr>
      </w:pPr>
      <w:r w:rsidRPr="003A50CD">
        <w:rPr>
          <w:noProof/>
        </w:rPr>
        <w:drawing>
          <wp:inline distT="0" distB="0" distL="0" distR="0">
            <wp:extent cx="4362450" cy="2562225"/>
            <wp:effectExtent l="19050" t="0" r="0" b="0"/>
            <wp:docPr id="35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4B5BA0" w:rsidRPr="0061232A" w:rsidRDefault="004B5BA0" w:rsidP="004B5BA0">
      <w:pPr>
        <w:tabs>
          <w:tab w:val="left" w:pos="3105"/>
        </w:tabs>
        <w:jc w:val="both"/>
        <w:rPr>
          <w:rFonts w:ascii="Arial" w:hAnsi="Arial" w:cs="Arial"/>
          <w:noProof/>
          <w:sz w:val="20"/>
          <w:szCs w:val="20"/>
        </w:rPr>
      </w:pPr>
      <w:r w:rsidRPr="0061232A">
        <w:rPr>
          <w:rFonts w:ascii="Arial" w:hAnsi="Arial" w:cs="Arial"/>
          <w:noProof/>
          <w:sz w:val="20"/>
          <w:szCs w:val="20"/>
        </w:rPr>
        <w:t>Наибольшая средняя цена предложения остается в в черте города, в 4 кв.2014г. по сравнени. с предыдущим периодом она увеличилась на 15,6% и составила 2889 тыс.руб., на втором месте - Ирбитский тракт с ценой 1745 тыс.руб. Наименьшая средняя цена предложения в районе Червишевского тракта - 1087 тыс.руб.</w:t>
      </w:r>
    </w:p>
    <w:p w:rsidR="004B5BA0" w:rsidRDefault="004B5BA0" w:rsidP="003A50CD">
      <w:pPr>
        <w:tabs>
          <w:tab w:val="left" w:pos="3105"/>
        </w:tabs>
        <w:jc w:val="center"/>
        <w:rPr>
          <w:noProof/>
        </w:rPr>
      </w:pPr>
      <w:r w:rsidRPr="004B5BA0">
        <w:rPr>
          <w:noProof/>
        </w:rPr>
        <w:drawing>
          <wp:inline distT="0" distB="0" distL="0" distR="0">
            <wp:extent cx="5772150" cy="3190875"/>
            <wp:effectExtent l="0" t="0" r="0" b="0"/>
            <wp:docPr id="36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037838" w:rsidRPr="00E877C6" w:rsidRDefault="00037838" w:rsidP="00E877C6">
      <w:pPr>
        <w:tabs>
          <w:tab w:val="left" w:pos="3105"/>
        </w:tabs>
      </w:pPr>
      <w:r>
        <w:rPr>
          <w:rFonts w:ascii="Arial" w:hAnsi="Arial" w:cs="Arial"/>
        </w:rPr>
        <w:br w:type="page"/>
      </w:r>
    </w:p>
    <w:p w:rsidR="000F4458" w:rsidRPr="000F4458" w:rsidRDefault="003B536F" w:rsidP="000F4458">
      <w:pPr>
        <w:pStyle w:val="1"/>
        <w:ind w:left="-284"/>
        <w:rPr>
          <w:rFonts w:ascii="Arial" w:hAnsi="Arial" w:cs="Arial"/>
          <w:color w:val="auto"/>
          <w:sz w:val="22"/>
          <w:szCs w:val="22"/>
        </w:rPr>
      </w:pPr>
      <w:bookmarkStart w:id="6" w:name="_Toc401047140"/>
      <w:r>
        <w:rPr>
          <w:rFonts w:ascii="Arial" w:hAnsi="Arial" w:cs="Arial"/>
          <w:color w:val="auto"/>
          <w:sz w:val="22"/>
          <w:szCs w:val="22"/>
        </w:rPr>
        <w:lastRenderedPageBreak/>
        <w:t>5</w:t>
      </w:r>
      <w:r w:rsidR="000F4458" w:rsidRPr="000F4458">
        <w:rPr>
          <w:rFonts w:ascii="Arial" w:hAnsi="Arial" w:cs="Arial"/>
          <w:color w:val="auto"/>
          <w:sz w:val="22"/>
          <w:szCs w:val="22"/>
        </w:rPr>
        <w:t>. КОТТЕДЖИ</w:t>
      </w:r>
      <w:bookmarkEnd w:id="6"/>
    </w:p>
    <w:p w:rsidR="000F4458" w:rsidRDefault="000F4458" w:rsidP="000F4458">
      <w:pPr>
        <w:ind w:left="-284"/>
        <w:rPr>
          <w:rFonts w:ascii="Arial" w:hAnsi="Arial" w:cs="Arial"/>
          <w:b/>
          <w:sz w:val="20"/>
          <w:szCs w:val="20"/>
        </w:rPr>
      </w:pPr>
    </w:p>
    <w:p w:rsidR="000F4458" w:rsidRDefault="000F4458" w:rsidP="000F4458">
      <w:pPr>
        <w:ind w:left="-284"/>
        <w:rPr>
          <w:rFonts w:ascii="Arial" w:hAnsi="Arial" w:cs="Arial"/>
          <w:b/>
          <w:sz w:val="20"/>
          <w:szCs w:val="20"/>
        </w:rPr>
      </w:pPr>
      <w:r w:rsidRPr="00D866FE">
        <w:rPr>
          <w:rFonts w:ascii="Arial" w:hAnsi="Arial" w:cs="Arial"/>
          <w:b/>
          <w:sz w:val="20"/>
          <w:szCs w:val="20"/>
        </w:rPr>
        <w:t>Объем предложения</w:t>
      </w:r>
    </w:p>
    <w:p w:rsidR="000F4458" w:rsidRDefault="003B2F29" w:rsidP="009A3932">
      <w:pPr>
        <w:tabs>
          <w:tab w:val="left" w:pos="3105"/>
        </w:tabs>
        <w:spacing w:after="0"/>
        <w:ind w:left="-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29% общего объема предложения коттеджей </w:t>
      </w:r>
      <w:r w:rsidR="0061232A">
        <w:rPr>
          <w:rFonts w:ascii="Arial" w:hAnsi="Arial" w:cs="Arial"/>
          <w:sz w:val="20"/>
          <w:szCs w:val="20"/>
        </w:rPr>
        <w:t>находится</w:t>
      </w:r>
      <w:r>
        <w:rPr>
          <w:rFonts w:ascii="Arial" w:hAnsi="Arial" w:cs="Arial"/>
          <w:sz w:val="20"/>
          <w:szCs w:val="20"/>
        </w:rPr>
        <w:t xml:space="preserve"> в черте города, по Московскому тракту сосредоточено порядка 20%, по Червишевскому - 14%, Салаирскому - 12% и </w:t>
      </w:r>
      <w:r w:rsidR="0061232A">
        <w:rPr>
          <w:rFonts w:ascii="Arial" w:hAnsi="Arial" w:cs="Arial"/>
          <w:sz w:val="20"/>
          <w:szCs w:val="20"/>
        </w:rPr>
        <w:t>т.д.</w:t>
      </w:r>
    </w:p>
    <w:p w:rsidR="009A3932" w:rsidRPr="009A3932" w:rsidRDefault="009A3932" w:rsidP="009A3932">
      <w:pPr>
        <w:tabs>
          <w:tab w:val="left" w:pos="3105"/>
        </w:tabs>
        <w:spacing w:after="0"/>
        <w:ind w:left="-284"/>
        <w:jc w:val="both"/>
        <w:rPr>
          <w:rFonts w:ascii="Arial" w:hAnsi="Arial" w:cs="Arial"/>
          <w:sz w:val="20"/>
          <w:szCs w:val="20"/>
        </w:rPr>
      </w:pPr>
    </w:p>
    <w:p w:rsidR="000F4458" w:rsidRDefault="00EE021A" w:rsidP="00C77635">
      <w:pPr>
        <w:tabs>
          <w:tab w:val="left" w:pos="3105"/>
        </w:tabs>
        <w:jc w:val="center"/>
      </w:pPr>
      <w:r w:rsidRPr="00EE021A">
        <w:drawing>
          <wp:inline distT="0" distB="0" distL="0" distR="0">
            <wp:extent cx="5000625" cy="2867025"/>
            <wp:effectExtent l="0" t="0" r="0" b="0"/>
            <wp:docPr id="37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DA3D6A" w:rsidRDefault="00DA3D6A" w:rsidP="003B536F">
      <w:pPr>
        <w:ind w:left="-284"/>
        <w:rPr>
          <w:rFonts w:ascii="Arial" w:hAnsi="Arial" w:cs="Arial"/>
          <w:b/>
          <w:sz w:val="20"/>
          <w:szCs w:val="20"/>
        </w:rPr>
      </w:pPr>
    </w:p>
    <w:p w:rsidR="003B536F" w:rsidRDefault="003B536F" w:rsidP="003B536F">
      <w:pPr>
        <w:ind w:left="-284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Ценовая ситуация</w:t>
      </w:r>
    </w:p>
    <w:p w:rsidR="000F4458" w:rsidRPr="003B2F29" w:rsidRDefault="003B2F29" w:rsidP="00D77EDD">
      <w:pPr>
        <w:tabs>
          <w:tab w:val="left" w:pos="3105"/>
        </w:tabs>
        <w:rPr>
          <w:rFonts w:ascii="Arial" w:hAnsi="Arial" w:cs="Arial"/>
          <w:noProof/>
          <w:sz w:val="20"/>
          <w:szCs w:val="20"/>
        </w:rPr>
      </w:pPr>
      <w:r w:rsidRPr="003B2F29">
        <w:rPr>
          <w:rFonts w:ascii="Arial" w:hAnsi="Arial" w:cs="Arial"/>
          <w:noProof/>
          <w:sz w:val="20"/>
          <w:szCs w:val="20"/>
        </w:rPr>
        <w:t xml:space="preserve">Средняя цена кв.м. в 4 кв.2014г. </w:t>
      </w:r>
      <w:r>
        <w:rPr>
          <w:rFonts w:ascii="Arial" w:hAnsi="Arial" w:cs="Arial"/>
          <w:noProof/>
          <w:sz w:val="20"/>
          <w:szCs w:val="20"/>
        </w:rPr>
        <w:t>снизилась до уровня 41919 руб. (всего на 0,35%)</w:t>
      </w:r>
    </w:p>
    <w:p w:rsidR="003B2F29" w:rsidRDefault="003B2F29" w:rsidP="003B2F29">
      <w:pPr>
        <w:tabs>
          <w:tab w:val="left" w:pos="3105"/>
        </w:tabs>
        <w:jc w:val="center"/>
      </w:pPr>
      <w:r w:rsidRPr="003B2F29">
        <w:drawing>
          <wp:inline distT="0" distB="0" distL="0" distR="0">
            <wp:extent cx="4181475" cy="2352675"/>
            <wp:effectExtent l="19050" t="0" r="0" b="0"/>
            <wp:docPr id="38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C63D7E" w:rsidRPr="00874E0D" w:rsidRDefault="00C63D7E" w:rsidP="00C63D7E">
      <w:pPr>
        <w:tabs>
          <w:tab w:val="left" w:pos="3105"/>
        </w:tabs>
        <w:jc w:val="both"/>
        <w:rPr>
          <w:rFonts w:ascii="Arial" w:hAnsi="Arial" w:cs="Arial"/>
          <w:sz w:val="20"/>
          <w:szCs w:val="20"/>
        </w:rPr>
      </w:pPr>
      <w:r w:rsidRPr="00874E0D">
        <w:rPr>
          <w:rFonts w:ascii="Arial" w:hAnsi="Arial" w:cs="Arial"/>
          <w:sz w:val="20"/>
          <w:szCs w:val="20"/>
        </w:rPr>
        <w:t xml:space="preserve">В 4 кв. 2014г.  наибольшее изменение средней полной цены коттеджей установлено по Велижанскому  тракту - 8,1% (↓) до уровня 5137 тыс.руб. Наибольший положительный прирост  (на 4,6%↑) в направлении Тобольского тракта, где средняя цена предложения коттеджей составила </w:t>
      </w:r>
      <w:r w:rsidR="00582C5A" w:rsidRPr="00874E0D">
        <w:rPr>
          <w:rFonts w:ascii="Arial" w:hAnsi="Arial" w:cs="Arial"/>
          <w:sz w:val="20"/>
          <w:szCs w:val="20"/>
        </w:rPr>
        <w:t>7878 тыс.руб.</w:t>
      </w:r>
    </w:p>
    <w:p w:rsidR="00C63D7E" w:rsidRDefault="00C63D7E">
      <w:r>
        <w:br w:type="page"/>
      </w:r>
    </w:p>
    <w:p w:rsidR="003B2F29" w:rsidRDefault="003B2F29" w:rsidP="003B2F29">
      <w:pPr>
        <w:tabs>
          <w:tab w:val="left" w:pos="3105"/>
        </w:tabs>
        <w:jc w:val="center"/>
      </w:pPr>
      <w:r w:rsidRPr="003B2F29">
        <w:lastRenderedPageBreak/>
        <w:drawing>
          <wp:inline distT="0" distB="0" distL="0" distR="0">
            <wp:extent cx="6038850" cy="3371850"/>
            <wp:effectExtent l="19050" t="0" r="0" b="0"/>
            <wp:docPr id="39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4713FE" w:rsidRPr="004713FE" w:rsidRDefault="004713FE" w:rsidP="004713FE">
      <w:pPr>
        <w:pStyle w:val="1"/>
        <w:ind w:left="-284"/>
        <w:rPr>
          <w:rFonts w:ascii="Arial" w:hAnsi="Arial" w:cs="Arial"/>
          <w:color w:val="auto"/>
          <w:sz w:val="22"/>
          <w:szCs w:val="22"/>
        </w:rPr>
      </w:pPr>
      <w:bookmarkStart w:id="7" w:name="_Toc401047141"/>
      <w:r w:rsidRPr="004713FE">
        <w:rPr>
          <w:rFonts w:ascii="Arial" w:hAnsi="Arial" w:cs="Arial"/>
          <w:color w:val="auto"/>
          <w:sz w:val="22"/>
          <w:szCs w:val="22"/>
        </w:rPr>
        <w:t>6. ТАУНХАУСЫ</w:t>
      </w:r>
      <w:bookmarkEnd w:id="7"/>
    </w:p>
    <w:p w:rsidR="004713FE" w:rsidRDefault="004713FE" w:rsidP="004713FE">
      <w:pPr>
        <w:ind w:left="-284"/>
        <w:rPr>
          <w:rFonts w:ascii="Arial" w:hAnsi="Arial" w:cs="Arial"/>
          <w:b/>
          <w:sz w:val="20"/>
          <w:szCs w:val="20"/>
        </w:rPr>
      </w:pPr>
    </w:p>
    <w:p w:rsidR="004713FE" w:rsidRDefault="004713FE" w:rsidP="004713FE">
      <w:pPr>
        <w:ind w:left="-284"/>
        <w:rPr>
          <w:rFonts w:ascii="Arial" w:hAnsi="Arial" w:cs="Arial"/>
          <w:b/>
          <w:sz w:val="20"/>
          <w:szCs w:val="20"/>
        </w:rPr>
      </w:pPr>
      <w:r w:rsidRPr="00D866FE">
        <w:rPr>
          <w:rFonts w:ascii="Arial" w:hAnsi="Arial" w:cs="Arial"/>
          <w:b/>
          <w:sz w:val="20"/>
          <w:szCs w:val="20"/>
        </w:rPr>
        <w:t>Объем предложения</w:t>
      </w:r>
    </w:p>
    <w:p w:rsidR="00FF216A" w:rsidRDefault="00FF216A" w:rsidP="00291A5D">
      <w:pPr>
        <w:tabs>
          <w:tab w:val="left" w:pos="3105"/>
        </w:tabs>
        <w:spacing w:after="0"/>
        <w:ind w:left="-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Общий объем предложения таунхаусов в 4 кв.2014г. составил более 100 объектов, темп прироста к предыдущему периоду - 5,6%(↓).</w:t>
      </w:r>
    </w:p>
    <w:p w:rsidR="00FF216A" w:rsidRDefault="00FF216A" w:rsidP="00291A5D">
      <w:pPr>
        <w:tabs>
          <w:tab w:val="left" w:pos="3105"/>
        </w:tabs>
        <w:spacing w:after="0"/>
        <w:ind w:left="-284"/>
        <w:jc w:val="both"/>
        <w:rPr>
          <w:rFonts w:ascii="Arial" w:hAnsi="Arial" w:cs="Arial"/>
          <w:sz w:val="20"/>
          <w:szCs w:val="20"/>
        </w:rPr>
      </w:pPr>
    </w:p>
    <w:p w:rsidR="00291A5D" w:rsidRDefault="00582C5A" w:rsidP="00291A5D">
      <w:pPr>
        <w:tabs>
          <w:tab w:val="left" w:pos="3105"/>
        </w:tabs>
        <w:spacing w:after="0"/>
        <w:ind w:left="-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Более половины всего предложения таунхаусов представлена в черте города (51%), среди них такие районы города как Дом Обороны, Мыс, Тарманы, Матмасы и  др. Практически четверть</w:t>
      </w:r>
      <w:r w:rsidR="00A72C76">
        <w:rPr>
          <w:rFonts w:ascii="Arial" w:hAnsi="Arial" w:cs="Arial"/>
          <w:sz w:val="20"/>
          <w:szCs w:val="20"/>
        </w:rPr>
        <w:t xml:space="preserve"> (24%)</w:t>
      </w:r>
      <w:r>
        <w:rPr>
          <w:rFonts w:ascii="Arial" w:hAnsi="Arial" w:cs="Arial"/>
          <w:sz w:val="20"/>
          <w:szCs w:val="20"/>
        </w:rPr>
        <w:t xml:space="preserve"> </w:t>
      </w:r>
      <w:r w:rsidR="00A72C76">
        <w:rPr>
          <w:rFonts w:ascii="Arial" w:hAnsi="Arial" w:cs="Arial"/>
          <w:sz w:val="20"/>
          <w:szCs w:val="20"/>
        </w:rPr>
        <w:t>объема рас</w:t>
      </w:r>
      <w:r w:rsidR="00874E0D">
        <w:rPr>
          <w:rFonts w:ascii="Arial" w:hAnsi="Arial" w:cs="Arial"/>
          <w:sz w:val="20"/>
          <w:szCs w:val="20"/>
        </w:rPr>
        <w:t>положена по Московском у тракту, в</w:t>
      </w:r>
      <w:r w:rsidR="00A72C76">
        <w:rPr>
          <w:rFonts w:ascii="Arial" w:hAnsi="Arial" w:cs="Arial"/>
          <w:sz w:val="20"/>
          <w:szCs w:val="20"/>
        </w:rPr>
        <w:t xml:space="preserve"> посел</w:t>
      </w:r>
      <w:r w:rsidR="00874E0D">
        <w:rPr>
          <w:rFonts w:ascii="Arial" w:hAnsi="Arial" w:cs="Arial"/>
          <w:sz w:val="20"/>
          <w:szCs w:val="20"/>
        </w:rPr>
        <w:t>ке</w:t>
      </w:r>
      <w:r w:rsidR="00A72C76">
        <w:rPr>
          <w:rFonts w:ascii="Arial" w:hAnsi="Arial" w:cs="Arial"/>
          <w:sz w:val="20"/>
          <w:szCs w:val="20"/>
        </w:rPr>
        <w:t xml:space="preserve"> Молодежный. Меньше всего объектов по Салаирскому и Старому Тобольскому тракту - по 1%.</w:t>
      </w:r>
    </w:p>
    <w:p w:rsidR="00582C5A" w:rsidRDefault="00582C5A" w:rsidP="00291A5D">
      <w:pPr>
        <w:tabs>
          <w:tab w:val="left" w:pos="3105"/>
        </w:tabs>
        <w:spacing w:after="0"/>
        <w:ind w:left="-284"/>
        <w:jc w:val="both"/>
        <w:rPr>
          <w:rFonts w:ascii="Arial" w:hAnsi="Arial" w:cs="Arial"/>
          <w:sz w:val="20"/>
          <w:szCs w:val="20"/>
        </w:rPr>
      </w:pPr>
    </w:p>
    <w:p w:rsidR="00FF216A" w:rsidRPr="00FF216A" w:rsidRDefault="00582C5A" w:rsidP="00FF216A">
      <w:pPr>
        <w:tabs>
          <w:tab w:val="left" w:pos="3105"/>
        </w:tabs>
        <w:jc w:val="center"/>
      </w:pPr>
      <w:r w:rsidRPr="00582C5A">
        <w:drawing>
          <wp:inline distT="0" distB="0" distL="0" distR="0">
            <wp:extent cx="5191125" cy="3076574"/>
            <wp:effectExtent l="0" t="0" r="0" b="0"/>
            <wp:docPr id="40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r w:rsidR="00FF216A">
        <w:rPr>
          <w:rFonts w:ascii="Arial" w:hAnsi="Arial" w:cs="Arial"/>
          <w:b/>
          <w:sz w:val="20"/>
          <w:szCs w:val="20"/>
        </w:rPr>
        <w:br w:type="page"/>
      </w:r>
    </w:p>
    <w:p w:rsidR="004713FE" w:rsidRDefault="004713FE" w:rsidP="004713FE">
      <w:pPr>
        <w:ind w:left="-284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Ценовая ситуация</w:t>
      </w:r>
    </w:p>
    <w:p w:rsidR="00C30890" w:rsidRPr="00FF216A" w:rsidRDefault="00FF216A" w:rsidP="00FF216A">
      <w:pPr>
        <w:tabs>
          <w:tab w:val="left" w:pos="3105"/>
        </w:tabs>
        <w:ind w:left="-284"/>
        <w:jc w:val="both"/>
        <w:rPr>
          <w:rFonts w:ascii="Arial" w:hAnsi="Arial" w:cs="Arial"/>
          <w:noProof/>
          <w:sz w:val="20"/>
          <w:szCs w:val="20"/>
        </w:rPr>
      </w:pPr>
      <w:r w:rsidRPr="00FF216A">
        <w:rPr>
          <w:rFonts w:ascii="Arial" w:hAnsi="Arial" w:cs="Arial"/>
          <w:noProof/>
          <w:sz w:val="20"/>
          <w:szCs w:val="20"/>
        </w:rPr>
        <w:t xml:space="preserve">В 4 кв.2014г. удельная цена предложения </w:t>
      </w:r>
      <w:r>
        <w:rPr>
          <w:rFonts w:ascii="Arial" w:hAnsi="Arial" w:cs="Arial"/>
          <w:noProof/>
          <w:sz w:val="20"/>
          <w:szCs w:val="20"/>
        </w:rPr>
        <w:t>таунхаусов снизилась на 6,7% по сравнению с 3 кв.2014г. и составила 45197 руб./кв.м.</w:t>
      </w:r>
    </w:p>
    <w:p w:rsidR="00874E0D" w:rsidRDefault="00A72C76" w:rsidP="00606B80">
      <w:pPr>
        <w:tabs>
          <w:tab w:val="left" w:pos="3105"/>
        </w:tabs>
        <w:ind w:left="-284"/>
        <w:jc w:val="center"/>
        <w:sectPr w:rsidR="00874E0D" w:rsidSect="008B6E35">
          <w:headerReference w:type="default" r:id="rId3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A72C76">
        <w:drawing>
          <wp:inline distT="0" distB="0" distL="0" distR="0">
            <wp:extent cx="4362450" cy="2562225"/>
            <wp:effectExtent l="19050" t="0" r="0" b="0"/>
            <wp:docPr id="41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874E0D" w:rsidRDefault="00874E0D"/>
    <w:p w:rsidR="00C30890" w:rsidRDefault="00C30890">
      <w:r>
        <w:rPr>
          <w:noProof/>
        </w:rPr>
        <w:drawing>
          <wp:inline distT="0" distB="0" distL="0" distR="0">
            <wp:extent cx="6130334" cy="8670485"/>
            <wp:effectExtent l="19050" t="0" r="3766" b="0"/>
            <wp:docPr id="1" name="Рисунок 1" descr="C:\Users\a.s.moiseeva\Desktop\ШАБЛОНЫ\2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s.moiseeva\Desktop\ШАБЛОНЫ\222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944" cy="8671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0890" w:rsidSect="008B6E35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4576" w:rsidRDefault="00794576" w:rsidP="003C7084">
      <w:pPr>
        <w:spacing w:after="0" w:line="240" w:lineRule="auto"/>
      </w:pPr>
      <w:r>
        <w:separator/>
      </w:r>
    </w:p>
  </w:endnote>
  <w:endnote w:type="continuationSeparator" w:id="1">
    <w:p w:rsidR="00794576" w:rsidRDefault="00794576" w:rsidP="003C70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4576" w:rsidRDefault="00794576" w:rsidP="003C7084">
      <w:pPr>
        <w:spacing w:after="0" w:line="240" w:lineRule="auto"/>
      </w:pPr>
      <w:r>
        <w:separator/>
      </w:r>
    </w:p>
  </w:footnote>
  <w:footnote w:type="continuationSeparator" w:id="1">
    <w:p w:rsidR="00794576" w:rsidRDefault="00794576" w:rsidP="003C7084">
      <w:pPr>
        <w:spacing w:after="0" w:line="240" w:lineRule="auto"/>
      </w:pPr>
      <w:r>
        <w:continuationSeparator/>
      </w:r>
    </w:p>
  </w:footnote>
  <w:footnote w:id="2">
    <w:p w:rsidR="002B2B52" w:rsidRPr="00D7176F" w:rsidRDefault="002B2B52" w:rsidP="003C7084">
      <w:pPr>
        <w:pStyle w:val="a3"/>
        <w:rPr>
          <w:color w:val="244061" w:themeColor="accent1" w:themeShade="80"/>
        </w:rPr>
      </w:pPr>
      <w:r w:rsidRPr="00D7176F">
        <w:rPr>
          <w:rStyle w:val="a5"/>
          <w:color w:val="244061" w:themeColor="accent1" w:themeShade="80"/>
        </w:rPr>
        <w:footnoteRef/>
      </w:r>
      <w:r w:rsidRPr="00D7176F">
        <w:rPr>
          <w:color w:val="244061" w:themeColor="accent1" w:themeShade="80"/>
        </w:rPr>
        <w:t xml:space="preserve"> </w:t>
      </w:r>
      <w:r w:rsidRPr="00AF11A1">
        <w:rPr>
          <w:rFonts w:ascii="Arial" w:hAnsi="Arial" w:cs="Arial"/>
          <w:color w:val="244061" w:themeColor="accent1" w:themeShade="80"/>
          <w:sz w:val="18"/>
          <w:szCs w:val="18"/>
        </w:rPr>
        <w:t>О</w:t>
      </w:r>
      <w:r>
        <w:rPr>
          <w:rFonts w:ascii="Arial" w:hAnsi="Arial" w:cs="Arial"/>
          <w:color w:val="244061" w:themeColor="accent1" w:themeShade="80"/>
          <w:sz w:val="18"/>
          <w:szCs w:val="18"/>
        </w:rPr>
        <w:t>бзор</w:t>
      </w:r>
      <w:r w:rsidRPr="00AF11A1">
        <w:rPr>
          <w:rFonts w:ascii="Arial" w:hAnsi="Arial" w:cs="Arial"/>
          <w:color w:val="244061" w:themeColor="accent1" w:themeShade="80"/>
          <w:sz w:val="18"/>
          <w:szCs w:val="18"/>
        </w:rPr>
        <w:t xml:space="preserve"> подготовлен на основании базы компании "Этажи", по методологии Главного аналитика РГР Стерника Г.М.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921830"/>
      <w:docPartObj>
        <w:docPartGallery w:val="Page Numbers (Top of Page)"/>
        <w:docPartUnique/>
      </w:docPartObj>
    </w:sdtPr>
    <w:sdtContent>
      <w:p w:rsidR="002B2B52" w:rsidRDefault="002B2B52">
        <w:pPr>
          <w:pStyle w:val="a8"/>
          <w:jc w:val="right"/>
        </w:pPr>
        <w:fldSimple w:instr=" PAGE   \* MERGEFORMAT ">
          <w:r w:rsidR="00606B80">
            <w:rPr>
              <w:noProof/>
            </w:rPr>
            <w:t>2</w:t>
          </w:r>
        </w:fldSimple>
      </w:p>
    </w:sdtContent>
  </w:sdt>
  <w:p w:rsidR="002B2B52" w:rsidRDefault="002B2B52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861C41"/>
    <w:multiLevelType w:val="hybridMultilevel"/>
    <w:tmpl w:val="557E23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C7084"/>
    <w:rsid w:val="00037838"/>
    <w:rsid w:val="00050841"/>
    <w:rsid w:val="00056CE9"/>
    <w:rsid w:val="00065F50"/>
    <w:rsid w:val="0008282F"/>
    <w:rsid w:val="000905D9"/>
    <w:rsid w:val="000C2C16"/>
    <w:rsid w:val="000F4458"/>
    <w:rsid w:val="001070DF"/>
    <w:rsid w:val="00120183"/>
    <w:rsid w:val="00151817"/>
    <w:rsid w:val="001B096F"/>
    <w:rsid w:val="001D3BAE"/>
    <w:rsid w:val="0020580E"/>
    <w:rsid w:val="00207167"/>
    <w:rsid w:val="00220F6E"/>
    <w:rsid w:val="00280A0A"/>
    <w:rsid w:val="00291A5D"/>
    <w:rsid w:val="0029467D"/>
    <w:rsid w:val="002B2B52"/>
    <w:rsid w:val="00314C7A"/>
    <w:rsid w:val="00315358"/>
    <w:rsid w:val="00332CA6"/>
    <w:rsid w:val="00336BF2"/>
    <w:rsid w:val="00354D28"/>
    <w:rsid w:val="003655E1"/>
    <w:rsid w:val="003831E4"/>
    <w:rsid w:val="003A50CD"/>
    <w:rsid w:val="003A7FDD"/>
    <w:rsid w:val="003B2F29"/>
    <w:rsid w:val="003B536F"/>
    <w:rsid w:val="003C0629"/>
    <w:rsid w:val="003C7084"/>
    <w:rsid w:val="003D0C85"/>
    <w:rsid w:val="004713FE"/>
    <w:rsid w:val="00490E2D"/>
    <w:rsid w:val="004A5BBF"/>
    <w:rsid w:val="004B5BA0"/>
    <w:rsid w:val="004C328F"/>
    <w:rsid w:val="004E6B38"/>
    <w:rsid w:val="004E6FBF"/>
    <w:rsid w:val="00500E60"/>
    <w:rsid w:val="005024C1"/>
    <w:rsid w:val="00507B52"/>
    <w:rsid w:val="00522941"/>
    <w:rsid w:val="00546B3F"/>
    <w:rsid w:val="0055779F"/>
    <w:rsid w:val="00582C5A"/>
    <w:rsid w:val="005868C4"/>
    <w:rsid w:val="005D5383"/>
    <w:rsid w:val="00606771"/>
    <w:rsid w:val="006069A8"/>
    <w:rsid w:val="00606B80"/>
    <w:rsid w:val="00607478"/>
    <w:rsid w:val="0061232A"/>
    <w:rsid w:val="0062175A"/>
    <w:rsid w:val="0063529C"/>
    <w:rsid w:val="006C0FBB"/>
    <w:rsid w:val="006D0AB8"/>
    <w:rsid w:val="00765627"/>
    <w:rsid w:val="00771654"/>
    <w:rsid w:val="00771690"/>
    <w:rsid w:val="007718D5"/>
    <w:rsid w:val="00794576"/>
    <w:rsid w:val="007B3329"/>
    <w:rsid w:val="007B4D32"/>
    <w:rsid w:val="007C0EC5"/>
    <w:rsid w:val="007E0521"/>
    <w:rsid w:val="00842172"/>
    <w:rsid w:val="00874E0D"/>
    <w:rsid w:val="0089756B"/>
    <w:rsid w:val="008B6E35"/>
    <w:rsid w:val="008C1004"/>
    <w:rsid w:val="008C6427"/>
    <w:rsid w:val="00914BEC"/>
    <w:rsid w:val="009526FD"/>
    <w:rsid w:val="0096048C"/>
    <w:rsid w:val="009915AE"/>
    <w:rsid w:val="009A3932"/>
    <w:rsid w:val="009A68DE"/>
    <w:rsid w:val="009B3B20"/>
    <w:rsid w:val="009D1301"/>
    <w:rsid w:val="009D5B34"/>
    <w:rsid w:val="00A018D3"/>
    <w:rsid w:val="00A115D9"/>
    <w:rsid w:val="00A264DF"/>
    <w:rsid w:val="00A72C76"/>
    <w:rsid w:val="00AA125E"/>
    <w:rsid w:val="00AA34F9"/>
    <w:rsid w:val="00AC00AE"/>
    <w:rsid w:val="00AD7AD5"/>
    <w:rsid w:val="00AF109A"/>
    <w:rsid w:val="00B840A1"/>
    <w:rsid w:val="00BE5538"/>
    <w:rsid w:val="00BF791E"/>
    <w:rsid w:val="00C1276C"/>
    <w:rsid w:val="00C1368E"/>
    <w:rsid w:val="00C156E1"/>
    <w:rsid w:val="00C30890"/>
    <w:rsid w:val="00C45CAD"/>
    <w:rsid w:val="00C63D7E"/>
    <w:rsid w:val="00C7103E"/>
    <w:rsid w:val="00C77635"/>
    <w:rsid w:val="00CF6A5D"/>
    <w:rsid w:val="00D13C07"/>
    <w:rsid w:val="00D27706"/>
    <w:rsid w:val="00D50F07"/>
    <w:rsid w:val="00D64DCA"/>
    <w:rsid w:val="00D65E2B"/>
    <w:rsid w:val="00D77EDD"/>
    <w:rsid w:val="00D8247F"/>
    <w:rsid w:val="00DA08CC"/>
    <w:rsid w:val="00DA3D6A"/>
    <w:rsid w:val="00DB7615"/>
    <w:rsid w:val="00DC40E2"/>
    <w:rsid w:val="00DD0264"/>
    <w:rsid w:val="00DD72B1"/>
    <w:rsid w:val="00DE5912"/>
    <w:rsid w:val="00E2651D"/>
    <w:rsid w:val="00E560EB"/>
    <w:rsid w:val="00E643A9"/>
    <w:rsid w:val="00E877C6"/>
    <w:rsid w:val="00EE021A"/>
    <w:rsid w:val="00F56332"/>
    <w:rsid w:val="00F84387"/>
    <w:rsid w:val="00F95168"/>
    <w:rsid w:val="00FF216A"/>
    <w:rsid w:val="00FF72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82F"/>
  </w:style>
  <w:style w:type="paragraph" w:styleId="1">
    <w:name w:val="heading 1"/>
    <w:basedOn w:val="a"/>
    <w:next w:val="a"/>
    <w:link w:val="10"/>
    <w:uiPriority w:val="9"/>
    <w:qFormat/>
    <w:rsid w:val="004A5BB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3C7084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3C7084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3C7084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3C70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C7084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8B6E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B6E35"/>
  </w:style>
  <w:style w:type="paragraph" w:styleId="aa">
    <w:name w:val="footer"/>
    <w:basedOn w:val="a"/>
    <w:link w:val="ab"/>
    <w:uiPriority w:val="99"/>
    <w:semiHidden/>
    <w:unhideWhenUsed/>
    <w:rsid w:val="008B6E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8B6E35"/>
  </w:style>
  <w:style w:type="table" w:styleId="ac">
    <w:name w:val="Table Grid"/>
    <w:basedOn w:val="a1"/>
    <w:uiPriority w:val="59"/>
    <w:rsid w:val="004C328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5">
    <w:name w:val="Medium Shading 1 Accent 5"/>
    <w:basedOn w:val="a1"/>
    <w:uiPriority w:val="63"/>
    <w:rsid w:val="004C328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10">
    <w:name w:val="Заголовок 1 Знак"/>
    <w:basedOn w:val="a0"/>
    <w:link w:val="1"/>
    <w:uiPriority w:val="9"/>
    <w:rsid w:val="004A5B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TOC Heading"/>
    <w:basedOn w:val="1"/>
    <w:next w:val="a"/>
    <w:uiPriority w:val="39"/>
    <w:semiHidden/>
    <w:unhideWhenUsed/>
    <w:qFormat/>
    <w:rsid w:val="004A5BBF"/>
    <w:pPr>
      <w:outlineLvl w:val="9"/>
    </w:pPr>
    <w:rPr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4A5BBF"/>
    <w:pPr>
      <w:spacing w:after="100"/>
    </w:pPr>
  </w:style>
  <w:style w:type="character" w:styleId="ae">
    <w:name w:val="Hyperlink"/>
    <w:basedOn w:val="a0"/>
    <w:uiPriority w:val="99"/>
    <w:unhideWhenUsed/>
    <w:rsid w:val="004A5BBF"/>
    <w:rPr>
      <w:color w:val="0000FF" w:themeColor="hyperlink"/>
      <w:u w:val="single"/>
    </w:rPr>
  </w:style>
  <w:style w:type="paragraph" w:styleId="af">
    <w:name w:val="List Paragraph"/>
    <w:basedOn w:val="a"/>
    <w:uiPriority w:val="34"/>
    <w:qFormat/>
    <w:rsid w:val="00A264D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189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26" Type="http://schemas.openxmlformats.org/officeDocument/2006/relationships/chart" Target="charts/chart17.xml"/><Relationship Id="rId3" Type="http://schemas.openxmlformats.org/officeDocument/2006/relationships/styles" Target="styles.xml"/><Relationship Id="rId21" Type="http://schemas.openxmlformats.org/officeDocument/2006/relationships/chart" Target="charts/chart12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chart" Target="charts/chart16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chart" Target="charts/chart11.xml"/><Relationship Id="rId29" Type="http://schemas.openxmlformats.org/officeDocument/2006/relationships/chart" Target="charts/chart20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chart" Target="charts/chart15.xml"/><Relationship Id="rId32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chart" Target="charts/chart14.xml"/><Relationship Id="rId28" Type="http://schemas.openxmlformats.org/officeDocument/2006/relationships/chart" Target="charts/chart19.xml"/><Relationship Id="rId10" Type="http://schemas.openxmlformats.org/officeDocument/2006/relationships/chart" Target="charts/chart2.xml"/><Relationship Id="rId19" Type="http://schemas.openxmlformats.org/officeDocument/2006/relationships/chart" Target="charts/chart10.xml"/><Relationship Id="rId31" Type="http://schemas.openxmlformats.org/officeDocument/2006/relationships/chart" Target="charts/chart2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5.xml"/><Relationship Id="rId22" Type="http://schemas.openxmlformats.org/officeDocument/2006/relationships/chart" Target="charts/chart13.xml"/><Relationship Id="rId27" Type="http://schemas.openxmlformats.org/officeDocument/2006/relationships/chart" Target="charts/chart18.xml"/><Relationship Id="rId30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.s.moiseeva\Desktop\&#1047;&#1040;&#1043;&#1054;&#1056;&#1054;&#1044;&#1050;&#1040;\4%20&#1050;&#1042;&#1040;&#1056;&#1058;&#1040;&#1051;%202014\&#1079;&#1072;&#1075;&#1086;&#1088;&#1086;&#1076;&#1085;&#1072;&#1103;,%204&#1082;&#1074;.%202014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.s.moiseeva\Desktop\&#1047;&#1040;&#1043;&#1054;&#1056;&#1054;&#1044;&#1050;&#1040;\4%20&#1050;&#1042;&#1040;&#1056;&#1058;&#1040;&#1051;%202014\&#1079;&#1072;&#1075;&#1086;&#1088;&#1086;&#1076;&#1085;&#1072;&#1103;,%204&#1082;&#1074;.%202014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.s.moiseeva\Desktop\&#1047;&#1040;&#1043;&#1054;&#1056;&#1054;&#1044;&#1050;&#1040;\4%20&#1050;&#1042;&#1040;&#1056;&#1058;&#1040;&#1051;%202014\&#1079;&#1072;&#1075;&#1086;&#1088;&#1086;&#1076;&#1085;&#1072;&#1103;,%204&#1082;&#1074;.%202014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.s.moiseeva\Desktop\&#1047;&#1040;&#1043;&#1054;&#1056;&#1054;&#1044;&#1050;&#1040;\4%20&#1050;&#1042;&#1040;&#1056;&#1058;&#1040;&#1051;%202014\&#1079;&#1072;&#1075;&#1086;&#1088;&#1086;&#1076;&#1085;&#1072;&#1103;,%204&#1082;&#1074;.%202014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.s.moiseeva\Desktop\&#1047;&#1040;&#1043;&#1054;&#1056;&#1054;&#1044;&#1050;&#1040;\4%20&#1050;&#1042;&#1040;&#1056;&#1058;&#1040;&#1051;%202014\&#1079;&#1072;&#1075;&#1086;&#1088;&#1086;&#1076;&#1085;&#1072;&#1103;,%204&#1082;&#1074;.%202014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.s.moiseeva\Desktop\&#1047;&#1040;&#1043;&#1054;&#1056;&#1054;&#1044;&#1050;&#1040;\4%20&#1050;&#1042;&#1040;&#1056;&#1058;&#1040;&#1051;%202014\&#1079;&#1072;&#1075;&#1086;&#1088;&#1086;&#1076;&#1085;&#1072;&#1103;,%204&#1082;&#1074;.%202014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.s.moiseeva\Desktop\&#1047;&#1040;&#1043;&#1054;&#1056;&#1054;&#1044;&#1050;&#1040;\4%20&#1050;&#1042;&#1040;&#1056;&#1058;&#1040;&#1051;%202014\&#1079;&#1072;&#1075;&#1086;&#1088;&#1086;&#1076;&#1085;&#1072;&#1103;,%204&#1082;&#1074;.%202014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.s.moiseeva\Desktop\&#1047;&#1040;&#1043;&#1054;&#1056;&#1054;&#1044;&#1050;&#1040;\4%20&#1050;&#1042;&#1040;&#1056;&#1058;&#1040;&#1051;%202014\&#1079;&#1072;&#1075;&#1086;&#1088;&#1086;&#1076;&#1085;&#1072;&#1103;,%204&#1082;&#1074;.%202014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.s.moiseeva\Desktop\&#1047;&#1040;&#1043;&#1054;&#1056;&#1054;&#1044;&#1050;&#1040;\4%20&#1050;&#1042;&#1040;&#1056;&#1058;&#1040;&#1051;%202014\&#1079;&#1072;&#1075;&#1086;&#1088;&#1086;&#1076;&#1085;&#1072;&#1103;,%204&#1082;&#1074;.%202014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.s.moiseeva\Desktop\&#1047;&#1040;&#1043;&#1054;&#1056;&#1054;&#1044;&#1050;&#1040;\4%20&#1050;&#1042;&#1040;&#1056;&#1058;&#1040;&#1051;%202014\&#1079;&#1072;&#1075;&#1086;&#1088;&#1086;&#1076;&#1085;&#1072;&#1103;,%204&#1082;&#1074;.%202014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.s.moiseeva\Desktop\&#1047;&#1040;&#1043;&#1054;&#1056;&#1054;&#1044;&#1050;&#1040;\4%20&#1050;&#1042;&#1040;&#1056;&#1058;&#1040;&#1051;%202014\&#1079;&#1072;&#1075;&#1086;&#1088;&#1086;&#1076;&#1085;&#1072;&#1103;,%204&#1082;&#1074;.%202014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.s.moiseeva\Desktop\&#1047;&#1040;&#1043;&#1054;&#1056;&#1054;&#1044;&#1050;&#1040;\4%20&#1050;&#1042;&#1040;&#1056;&#1058;&#1040;&#1051;%202014\&#1079;&#1072;&#1075;&#1086;&#1088;&#1086;&#1076;&#1085;&#1072;&#1103;,%204&#1082;&#1074;.%202014.xlsx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.s.moiseeva\Desktop\&#1047;&#1040;&#1043;&#1054;&#1056;&#1054;&#1044;&#1050;&#1040;\4%20&#1050;&#1042;&#1040;&#1056;&#1058;&#1040;&#1051;%202014\&#1079;&#1072;&#1075;&#1086;&#1088;&#1086;&#1076;&#1085;&#1072;&#1103;,%204&#1082;&#1074;.%202014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.s.moiseeva\Desktop\&#1047;&#1040;&#1043;&#1054;&#1056;&#1054;&#1044;&#1050;&#1040;\4%20&#1050;&#1042;&#1040;&#1056;&#1058;&#1040;&#1051;%202014\&#1079;&#1072;&#1075;&#1086;&#1088;&#1086;&#1076;&#1085;&#1072;&#1103;,%204&#1082;&#1074;.%202014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.s.moiseeva\Desktop\&#1047;&#1040;&#1043;&#1054;&#1056;&#1054;&#1044;&#1050;&#1040;\4%20&#1050;&#1042;&#1040;&#1056;&#1058;&#1040;&#1051;%202014\&#1079;&#1072;&#1075;&#1086;&#1088;&#1086;&#1076;&#1085;&#1072;&#1103;,%204&#1082;&#1074;.%202014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.s.moiseeva\Desktop\&#1047;&#1040;&#1043;&#1054;&#1056;&#1054;&#1044;&#1050;&#1040;\4%20&#1050;&#1042;&#1040;&#1056;&#1058;&#1040;&#1051;%202014\&#1079;&#1072;&#1075;&#1086;&#1088;&#1086;&#1076;&#1085;&#1072;&#1103;,%204&#1082;&#1074;.%202014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.s.moiseeva\Desktop\&#1047;&#1040;&#1043;&#1054;&#1056;&#1054;&#1044;&#1050;&#1040;\4%20&#1050;&#1042;&#1040;&#1056;&#1058;&#1040;&#1051;%202014\&#1079;&#1072;&#1075;&#1086;&#1088;&#1086;&#1076;&#1085;&#1072;&#1103;,%204&#1082;&#1074;.%202014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.s.moiseeva\Desktop\&#1047;&#1040;&#1043;&#1054;&#1056;&#1054;&#1044;&#1050;&#1040;\4%20&#1050;&#1042;&#1040;&#1056;&#1058;&#1040;&#1051;%202014\&#1079;&#1072;&#1075;&#1086;&#1088;&#1086;&#1076;&#1085;&#1072;&#1103;,%204&#1082;&#1074;.%202014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.s.moiseeva\Desktop\&#1047;&#1040;&#1043;&#1054;&#1056;&#1054;&#1044;&#1050;&#1040;\4%20&#1050;&#1042;&#1040;&#1056;&#1058;&#1040;&#1051;%202014\&#1079;&#1072;&#1075;&#1086;&#1088;&#1086;&#1076;&#1085;&#1072;&#1103;,%204&#1082;&#1074;.%202014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.s.moiseeva\Desktop\&#1047;&#1040;&#1043;&#1054;&#1056;&#1054;&#1044;&#1050;&#1040;\4%20&#1050;&#1042;&#1040;&#1056;&#1058;&#1040;&#1051;%202014\&#1079;&#1072;&#1075;&#1086;&#1088;&#1086;&#1076;&#1085;&#1072;&#1103;,%204&#1082;&#1074;.%202014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.s.moiseeva\Desktop\&#1047;&#1040;&#1043;&#1054;&#1056;&#1054;&#1044;&#1050;&#1040;\4%20&#1050;&#1042;&#1040;&#1056;&#1058;&#1040;&#1051;%202014\&#1079;&#1072;&#1075;&#1086;&#1088;&#1086;&#1076;&#1085;&#1072;&#1103;,%204&#1082;&#1074;.%202014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23"/>
  <c:chart>
    <c:title>
      <c:tx>
        <c:rich>
          <a:bodyPr/>
          <a:lstStyle/>
          <a:p>
            <a:pPr>
              <a:defRPr sz="1050">
                <a:latin typeface="Arial" pitchFamily="34" charset="0"/>
                <a:cs typeface="Arial" pitchFamily="34" charset="0"/>
              </a:defRPr>
            </a:pPr>
            <a:r>
              <a:rPr lang="ru-RU" sz="1050">
                <a:latin typeface="Arial" pitchFamily="34" charset="0"/>
                <a:cs typeface="Arial" pitchFamily="34" charset="0"/>
              </a:rPr>
              <a:t>Сезонность на рынке загородной недвижимости (к янв.2013г)</a:t>
            </a:r>
          </a:p>
        </c:rich>
      </c:tx>
      <c:layout>
        <c:manualLayout>
          <c:xMode val="edge"/>
          <c:yMode val="edge"/>
          <c:x val="0.12386018353545222"/>
          <c:y val="1.5871359453562429E-3"/>
        </c:manualLayout>
      </c:layout>
    </c:title>
    <c:plotArea>
      <c:layout>
        <c:manualLayout>
          <c:layoutTarget val="inner"/>
          <c:xMode val="edge"/>
          <c:yMode val="edge"/>
          <c:x val="6.8918572678415196E-2"/>
          <c:y val="0.10789743192481922"/>
          <c:w val="0.91258514560679849"/>
          <c:h val="0.61107850799416263"/>
        </c:manualLayout>
      </c:layout>
      <c:lineChart>
        <c:grouping val="standard"/>
        <c:ser>
          <c:idx val="0"/>
          <c:order val="0"/>
          <c:tx>
            <c:strRef>
              <c:f>сезонность!$A$2</c:f>
              <c:strCache>
                <c:ptCount val="1"/>
                <c:pt idx="0">
                  <c:v>Индекс активности покупателей, %</c:v>
                </c:pt>
              </c:strCache>
            </c:strRef>
          </c:tx>
          <c:spPr>
            <a:ln w="19050">
              <a:prstDash val="sysDash"/>
            </a:ln>
          </c:spPr>
          <c:marker>
            <c:symbol val="circle"/>
            <c:size val="6"/>
          </c:marker>
          <c:cat>
            <c:numRef>
              <c:f>сезонность!$N$1:$AK$1</c:f>
              <c:numCache>
                <c:formatCode>mmm/yy</c:formatCode>
                <c:ptCount val="24"/>
                <c:pt idx="0">
                  <c:v>41275</c:v>
                </c:pt>
                <c:pt idx="1">
                  <c:v>41306</c:v>
                </c:pt>
                <c:pt idx="2">
                  <c:v>41334</c:v>
                </c:pt>
                <c:pt idx="3">
                  <c:v>41365</c:v>
                </c:pt>
                <c:pt idx="4">
                  <c:v>41395</c:v>
                </c:pt>
                <c:pt idx="5">
                  <c:v>41426</c:v>
                </c:pt>
                <c:pt idx="6">
                  <c:v>41456</c:v>
                </c:pt>
                <c:pt idx="7">
                  <c:v>41487</c:v>
                </c:pt>
                <c:pt idx="8">
                  <c:v>41518</c:v>
                </c:pt>
                <c:pt idx="9">
                  <c:v>41548</c:v>
                </c:pt>
                <c:pt idx="10">
                  <c:v>41579</c:v>
                </c:pt>
                <c:pt idx="11">
                  <c:v>41609</c:v>
                </c:pt>
                <c:pt idx="12">
                  <c:v>41640</c:v>
                </c:pt>
                <c:pt idx="13">
                  <c:v>41671</c:v>
                </c:pt>
                <c:pt idx="14">
                  <c:v>41699</c:v>
                </c:pt>
                <c:pt idx="15">
                  <c:v>41730</c:v>
                </c:pt>
                <c:pt idx="16">
                  <c:v>41760</c:v>
                </c:pt>
                <c:pt idx="17">
                  <c:v>41791</c:v>
                </c:pt>
                <c:pt idx="18">
                  <c:v>41821</c:v>
                </c:pt>
                <c:pt idx="19">
                  <c:v>41852</c:v>
                </c:pt>
                <c:pt idx="20">
                  <c:v>41883</c:v>
                </c:pt>
                <c:pt idx="21">
                  <c:v>41913</c:v>
                </c:pt>
                <c:pt idx="22">
                  <c:v>41944</c:v>
                </c:pt>
                <c:pt idx="23">
                  <c:v>41974</c:v>
                </c:pt>
              </c:numCache>
            </c:numRef>
          </c:cat>
          <c:val>
            <c:numRef>
              <c:f>сезонность!$N$4:$AK$4</c:f>
              <c:numCache>
                <c:formatCode>0</c:formatCode>
                <c:ptCount val="24"/>
                <c:pt idx="0" formatCode="General">
                  <c:v>100</c:v>
                </c:pt>
                <c:pt idx="1">
                  <c:v>100</c:v>
                </c:pt>
                <c:pt idx="2">
                  <c:v>161.01694915254237</c:v>
                </c:pt>
                <c:pt idx="3">
                  <c:v>151.9774011299435</c:v>
                </c:pt>
                <c:pt idx="4">
                  <c:v>184.18079096045196</c:v>
                </c:pt>
                <c:pt idx="5">
                  <c:v>134.46327683615817</c:v>
                </c:pt>
                <c:pt idx="6">
                  <c:v>149.15254237288138</c:v>
                </c:pt>
                <c:pt idx="7">
                  <c:v>183.61581920903956</c:v>
                </c:pt>
                <c:pt idx="8">
                  <c:v>150.84745762711862</c:v>
                </c:pt>
                <c:pt idx="9">
                  <c:v>219.77401129943502</c:v>
                </c:pt>
                <c:pt idx="10">
                  <c:v>165.53672316384174</c:v>
                </c:pt>
                <c:pt idx="11">
                  <c:v>104.51977401129942</c:v>
                </c:pt>
                <c:pt idx="12">
                  <c:v>212.99435028248587</c:v>
                </c:pt>
                <c:pt idx="13">
                  <c:v>190.96045197740116</c:v>
                </c:pt>
                <c:pt idx="14">
                  <c:v>264.40677966101691</c:v>
                </c:pt>
                <c:pt idx="15">
                  <c:v>244.06779661016949</c:v>
                </c:pt>
                <c:pt idx="16">
                  <c:v>225.42372881355936</c:v>
                </c:pt>
                <c:pt idx="17">
                  <c:v>177.40112994350284</c:v>
                </c:pt>
                <c:pt idx="18">
                  <c:v>202.25988700564969</c:v>
                </c:pt>
                <c:pt idx="19">
                  <c:v>235.59322033898306</c:v>
                </c:pt>
                <c:pt idx="20">
                  <c:v>213.55932203389833</c:v>
                </c:pt>
                <c:pt idx="21">
                  <c:v>187.57062146892656</c:v>
                </c:pt>
                <c:pt idx="22">
                  <c:v>183.61581920903956</c:v>
                </c:pt>
                <c:pt idx="23">
                  <c:v>256.49717514124285</c:v>
                </c:pt>
              </c:numCache>
            </c:numRef>
          </c:val>
          <c:smooth val="1"/>
        </c:ser>
        <c:ser>
          <c:idx val="1"/>
          <c:order val="1"/>
          <c:tx>
            <c:strRef>
              <c:f>сезонность!$A$3</c:f>
              <c:strCache>
                <c:ptCount val="1"/>
                <c:pt idx="0">
                  <c:v>Индекс активности продавцов, %</c:v>
                </c:pt>
              </c:strCache>
            </c:strRef>
          </c:tx>
          <c:spPr>
            <a:ln w="19050">
              <a:prstDash val="lgDash"/>
            </a:ln>
          </c:spPr>
          <c:marker>
            <c:symbol val="circle"/>
            <c:size val="6"/>
          </c:marker>
          <c:cat>
            <c:numRef>
              <c:f>сезонность!$N$1:$AH$1</c:f>
              <c:numCache>
                <c:formatCode>mmm/yy</c:formatCode>
                <c:ptCount val="21"/>
                <c:pt idx="0">
                  <c:v>41275</c:v>
                </c:pt>
                <c:pt idx="1">
                  <c:v>41306</c:v>
                </c:pt>
                <c:pt idx="2">
                  <c:v>41334</c:v>
                </c:pt>
                <c:pt idx="3">
                  <c:v>41365</c:v>
                </c:pt>
                <c:pt idx="4">
                  <c:v>41395</c:v>
                </c:pt>
                <c:pt idx="5">
                  <c:v>41426</c:v>
                </c:pt>
                <c:pt idx="6">
                  <c:v>41456</c:v>
                </c:pt>
                <c:pt idx="7">
                  <c:v>41487</c:v>
                </c:pt>
                <c:pt idx="8">
                  <c:v>41518</c:v>
                </c:pt>
                <c:pt idx="9">
                  <c:v>41548</c:v>
                </c:pt>
                <c:pt idx="10">
                  <c:v>41579</c:v>
                </c:pt>
                <c:pt idx="11">
                  <c:v>41609</c:v>
                </c:pt>
                <c:pt idx="12">
                  <c:v>41640</c:v>
                </c:pt>
                <c:pt idx="13">
                  <c:v>41671</c:v>
                </c:pt>
                <c:pt idx="14">
                  <c:v>41699</c:v>
                </c:pt>
                <c:pt idx="15">
                  <c:v>41730</c:v>
                </c:pt>
                <c:pt idx="16">
                  <c:v>41760</c:v>
                </c:pt>
                <c:pt idx="17">
                  <c:v>41791</c:v>
                </c:pt>
                <c:pt idx="18">
                  <c:v>41821</c:v>
                </c:pt>
                <c:pt idx="19">
                  <c:v>41852</c:v>
                </c:pt>
                <c:pt idx="20">
                  <c:v>41883</c:v>
                </c:pt>
              </c:numCache>
            </c:numRef>
          </c:cat>
          <c:val>
            <c:numRef>
              <c:f>сезонность!$N$5:$AK$5</c:f>
              <c:numCache>
                <c:formatCode>0</c:formatCode>
                <c:ptCount val="24"/>
                <c:pt idx="0" formatCode="General">
                  <c:v>100</c:v>
                </c:pt>
                <c:pt idx="1">
                  <c:v>135.55555555555554</c:v>
                </c:pt>
                <c:pt idx="2">
                  <c:v>187.40740740740745</c:v>
                </c:pt>
                <c:pt idx="3">
                  <c:v>231.11111111111106</c:v>
                </c:pt>
                <c:pt idx="4">
                  <c:v>200</c:v>
                </c:pt>
                <c:pt idx="5">
                  <c:v>180.7407407407407</c:v>
                </c:pt>
                <c:pt idx="6">
                  <c:v>200.74074074074073</c:v>
                </c:pt>
                <c:pt idx="7">
                  <c:v>200.74074074074073</c:v>
                </c:pt>
                <c:pt idx="8">
                  <c:v>160</c:v>
                </c:pt>
                <c:pt idx="9">
                  <c:v>142.96296296296296</c:v>
                </c:pt>
                <c:pt idx="10">
                  <c:v>128.88888888888891</c:v>
                </c:pt>
                <c:pt idx="11">
                  <c:v>77.037037037037038</c:v>
                </c:pt>
                <c:pt idx="12">
                  <c:v>130.37037037037041</c:v>
                </c:pt>
                <c:pt idx="13">
                  <c:v>129.62962962962962</c:v>
                </c:pt>
                <c:pt idx="14">
                  <c:v>191.85185185185185</c:v>
                </c:pt>
                <c:pt idx="15">
                  <c:v>195.55555555555551</c:v>
                </c:pt>
                <c:pt idx="16">
                  <c:v>244.44444444444446</c:v>
                </c:pt>
                <c:pt idx="17">
                  <c:v>194.07407407407405</c:v>
                </c:pt>
                <c:pt idx="18">
                  <c:v>178.51851851851853</c:v>
                </c:pt>
                <c:pt idx="19">
                  <c:v>176.2962962962963</c:v>
                </c:pt>
                <c:pt idx="20">
                  <c:v>151.85185185185185</c:v>
                </c:pt>
                <c:pt idx="21">
                  <c:v>118.51851851851849</c:v>
                </c:pt>
                <c:pt idx="22">
                  <c:v>159.25925925925924</c:v>
                </c:pt>
                <c:pt idx="23">
                  <c:v>141.4814814814815</c:v>
                </c:pt>
              </c:numCache>
            </c:numRef>
          </c:val>
          <c:smooth val="1"/>
        </c:ser>
        <c:marker val="1"/>
        <c:axId val="110592000"/>
        <c:axId val="110752128"/>
      </c:lineChart>
      <c:dateAx>
        <c:axId val="110592000"/>
        <c:scaling>
          <c:orientation val="minMax"/>
        </c:scaling>
        <c:axPos val="b"/>
        <c:numFmt formatCode="mmm/yy" sourceLinked="1"/>
        <c:majorTickMark val="none"/>
        <c:tickLblPos val="nextTo"/>
        <c:txPr>
          <a:bodyPr rot="-5400000" vert="horz"/>
          <a:lstStyle/>
          <a:p>
            <a:pPr>
              <a:defRPr sz="900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110752128"/>
        <c:crosses val="autoZero"/>
        <c:auto val="1"/>
        <c:lblOffset val="100"/>
      </c:dateAx>
      <c:valAx>
        <c:axId val="110752128"/>
        <c:scaling>
          <c:orientation val="minMax"/>
          <c:max val="350"/>
          <c:min val="0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900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11059200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4.1203533974542822E-2"/>
          <c:y val="0.93484095061022088"/>
          <c:w val="0.95277174729896563"/>
          <c:h val="4.8716631433006759E-2"/>
        </c:manualLayout>
      </c:layout>
      <c:txPr>
        <a:bodyPr/>
        <a:lstStyle/>
        <a:p>
          <a:pPr>
            <a:defRPr sz="900">
              <a:latin typeface="Arial" pitchFamily="34" charset="0"/>
              <a:cs typeface="Arial" pitchFamily="34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3"/>
  <c:chart>
    <c:title>
      <c:tx>
        <c:rich>
          <a:bodyPr/>
          <a:lstStyle/>
          <a:p>
            <a:pPr>
              <a:defRPr sz="900">
                <a:latin typeface="Arial" pitchFamily="34" charset="0"/>
                <a:cs typeface="Arial" pitchFamily="34" charset="0"/>
              </a:defRPr>
            </a:pPr>
            <a:r>
              <a:rPr lang="ru-RU" sz="900">
                <a:latin typeface="Arial" pitchFamily="34" charset="0"/>
                <a:cs typeface="Arial" pitchFamily="34" charset="0"/>
              </a:rPr>
              <a:t>Удельная цена предложения земельных</a:t>
            </a:r>
            <a:r>
              <a:rPr lang="ru-RU" sz="900" baseline="0">
                <a:latin typeface="Arial" pitchFamily="34" charset="0"/>
                <a:cs typeface="Arial" pitchFamily="34" charset="0"/>
              </a:rPr>
              <a:t> участков с/х назначения в разрезе по ВРИ</a:t>
            </a:r>
            <a:r>
              <a:rPr lang="ru-RU" sz="900">
                <a:latin typeface="Arial" pitchFamily="34" charset="0"/>
                <a:cs typeface="Arial" pitchFamily="34" charset="0"/>
              </a:rPr>
              <a:t>, руб./сот.</a:t>
            </a:r>
          </a:p>
        </c:rich>
      </c:tx>
      <c:layout>
        <c:manualLayout>
          <c:xMode val="edge"/>
          <c:yMode val="edge"/>
          <c:x val="0.14679870256392683"/>
          <c:y val="1.0399164788416321E-2"/>
        </c:manualLayout>
      </c:layout>
    </c:title>
    <c:plotArea>
      <c:layout>
        <c:manualLayout>
          <c:layoutTarget val="inner"/>
          <c:xMode val="edge"/>
          <c:yMode val="edge"/>
          <c:x val="0.1015068231413602"/>
          <c:y val="0.22685634555903594"/>
          <c:w val="0.86893435195600555"/>
          <c:h val="0.6007922801471377"/>
        </c:manualLayout>
      </c:layout>
      <c:barChart>
        <c:barDir val="col"/>
        <c:grouping val="clustered"/>
        <c:ser>
          <c:idx val="0"/>
          <c:order val="0"/>
          <c:dLbls>
            <c:dLbl>
              <c:idx val="1"/>
              <c:layout>
                <c:manualLayout>
                  <c:x val="-7.9365079365079413E-3"/>
                  <c:y val="1.2944980520097718E-2"/>
                </c:manualLayout>
              </c:layout>
              <c:showVal val="1"/>
            </c:dLbl>
            <c:dLbl>
              <c:idx val="4"/>
              <c:layout>
                <c:manualLayout>
                  <c:x val="-7.9365079365079413E-3"/>
                  <c:y val="0"/>
                </c:manualLayout>
              </c:layout>
              <c:showVal val="1"/>
            </c:dLbl>
            <c:dLbl>
              <c:idx val="5"/>
              <c:layout>
                <c:manualLayout>
                  <c:x val="-9.9206349206350727E-3"/>
                  <c:y val="3.2362451300244227E-3"/>
                </c:manualLayout>
              </c:layout>
              <c:showVal val="1"/>
            </c:dLbl>
            <c:dLbl>
              <c:idx val="6"/>
              <c:layout>
                <c:manualLayout>
                  <c:x val="-1.9841269841270204E-3"/>
                  <c:y val="9.7087353900732892E-3"/>
                </c:manualLayout>
              </c:layout>
              <c:showVal val="1"/>
            </c:dLbl>
            <c:txPr>
              <a:bodyPr rot="0" vert="horz"/>
              <a:lstStyle/>
              <a:p>
                <a:pPr>
                  <a:defRPr sz="900"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  <c:showVal val="1"/>
          </c:dLbls>
          <c:cat>
            <c:strRef>
              <c:f>'ДППМ ЗУ'!$A$34:$A$35</c:f>
              <c:strCache>
                <c:ptCount val="2"/>
                <c:pt idx="0">
                  <c:v>ЛПХ</c:v>
                </c:pt>
                <c:pt idx="1">
                  <c:v>СиО</c:v>
                </c:pt>
              </c:strCache>
            </c:strRef>
          </c:cat>
          <c:val>
            <c:numRef>
              <c:f>'ДППМ ЗУ'!$B$34:$B$35</c:f>
              <c:numCache>
                <c:formatCode>0</c:formatCode>
                <c:ptCount val="2"/>
                <c:pt idx="0">
                  <c:v>37958</c:v>
                </c:pt>
                <c:pt idx="1">
                  <c:v>47910</c:v>
                </c:pt>
              </c:numCache>
            </c:numRef>
          </c:val>
        </c:ser>
        <c:gapWidth val="269"/>
        <c:overlap val="-4"/>
        <c:axId val="136608000"/>
        <c:axId val="137192960"/>
      </c:barChart>
      <c:catAx>
        <c:axId val="136608000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 rot="0" vert="horz"/>
          <a:lstStyle/>
          <a:p>
            <a:pPr>
              <a:defRPr sz="800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137192960"/>
        <c:crosses val="autoZero"/>
        <c:auto val="1"/>
        <c:lblAlgn val="ctr"/>
        <c:lblOffset val="100"/>
      </c:catAx>
      <c:valAx>
        <c:axId val="137192960"/>
        <c:scaling>
          <c:orientation val="minMax"/>
          <c:max val="80000"/>
          <c:min val="0"/>
        </c:scaling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руб./сот.</a:t>
                </a:r>
              </a:p>
            </c:rich>
          </c:tx>
          <c:layout>
            <c:manualLayout>
              <c:xMode val="edge"/>
              <c:yMode val="edge"/>
              <c:x val="1.2120482756249355E-2"/>
              <c:y val="0.11103669662110092"/>
            </c:manualLayout>
          </c:layout>
        </c:title>
        <c:numFmt formatCode="0" sourceLinked="1"/>
        <c:tickLblPos val="nextTo"/>
        <c:txPr>
          <a:bodyPr/>
          <a:lstStyle/>
          <a:p>
            <a:pPr>
              <a:defRPr sz="900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136608000"/>
        <c:crosses val="autoZero"/>
        <c:crossBetween val="between"/>
      </c:valAx>
    </c:plotArea>
    <c:plotVisOnly val="1"/>
    <c:dispBlanksAs val="gap"/>
  </c:chart>
  <c:spPr>
    <a:ln>
      <a:noFill/>
    </a:ln>
  </c:sp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3"/>
  <c:chart>
    <c:title>
      <c:tx>
        <c:rich>
          <a:bodyPr/>
          <a:lstStyle/>
          <a:p>
            <a:pPr>
              <a:defRPr sz="900">
                <a:latin typeface="Arial" pitchFamily="34" charset="0"/>
                <a:cs typeface="Arial" pitchFamily="34" charset="0"/>
              </a:defRPr>
            </a:pPr>
            <a:r>
              <a:rPr lang="ru-RU" sz="900">
                <a:latin typeface="Arial" pitchFamily="34" charset="0"/>
                <a:cs typeface="Arial" pitchFamily="34" charset="0"/>
              </a:rPr>
              <a:t>Удельная цена предложения земель</a:t>
            </a:r>
            <a:r>
              <a:rPr lang="en-US" sz="900">
                <a:latin typeface="Arial" pitchFamily="34" charset="0"/>
                <a:cs typeface="Arial" pitchFamily="34" charset="0"/>
              </a:rPr>
              <a:t> </a:t>
            </a:r>
            <a:r>
              <a:rPr lang="ru-RU" sz="900">
                <a:latin typeface="Arial" pitchFamily="34" charset="0"/>
                <a:cs typeface="Arial" pitchFamily="34" charset="0"/>
              </a:rPr>
              <a:t>поселений</a:t>
            </a:r>
            <a:r>
              <a:rPr lang="ru-RU" sz="900" baseline="0">
                <a:latin typeface="Arial" pitchFamily="34" charset="0"/>
                <a:cs typeface="Arial" pitchFamily="34" charset="0"/>
              </a:rPr>
              <a:t> в разрезе по ВРИ</a:t>
            </a:r>
            <a:r>
              <a:rPr lang="ru-RU" sz="900">
                <a:latin typeface="Arial" pitchFamily="34" charset="0"/>
                <a:cs typeface="Arial" pitchFamily="34" charset="0"/>
              </a:rPr>
              <a:t>, руб./сот.</a:t>
            </a:r>
          </a:p>
        </c:rich>
      </c:tx>
      <c:layout>
        <c:manualLayout>
          <c:xMode val="edge"/>
          <c:yMode val="edge"/>
          <c:x val="0.14679870256392663"/>
          <c:y val="5.4425352964708419E-3"/>
        </c:manualLayout>
      </c:layout>
    </c:title>
    <c:plotArea>
      <c:layout>
        <c:manualLayout>
          <c:layoutTarget val="inner"/>
          <c:xMode val="edge"/>
          <c:yMode val="edge"/>
          <c:x val="0.1015068231413602"/>
          <c:y val="0.22685634555903594"/>
          <c:w val="0.86893435195600555"/>
          <c:h val="0.62339116508741488"/>
        </c:manualLayout>
      </c:layout>
      <c:barChart>
        <c:barDir val="col"/>
        <c:grouping val="clustered"/>
        <c:ser>
          <c:idx val="0"/>
          <c:order val="0"/>
          <c:dLbls>
            <c:dLbl>
              <c:idx val="1"/>
              <c:layout>
                <c:manualLayout>
                  <c:x val="-7.9365079365079413E-3"/>
                  <c:y val="1.2944980520097718E-2"/>
                </c:manualLayout>
              </c:layout>
              <c:showVal val="1"/>
            </c:dLbl>
            <c:dLbl>
              <c:idx val="4"/>
              <c:layout>
                <c:manualLayout>
                  <c:x val="-7.9365079365079413E-3"/>
                  <c:y val="0"/>
                </c:manualLayout>
              </c:layout>
              <c:showVal val="1"/>
            </c:dLbl>
            <c:dLbl>
              <c:idx val="5"/>
              <c:layout>
                <c:manualLayout>
                  <c:x val="-9.9206349206350727E-3"/>
                  <c:y val="3.2362451300244227E-3"/>
                </c:manualLayout>
              </c:layout>
              <c:showVal val="1"/>
            </c:dLbl>
            <c:dLbl>
              <c:idx val="6"/>
              <c:layout>
                <c:manualLayout>
                  <c:x val="-1.9841269841270213E-3"/>
                  <c:y val="9.7087353900732892E-3"/>
                </c:manualLayout>
              </c:layout>
              <c:showVal val="1"/>
            </c:dLbl>
            <c:txPr>
              <a:bodyPr rot="0" vert="horz"/>
              <a:lstStyle/>
              <a:p>
                <a:pPr>
                  <a:defRPr sz="900"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  <c:showVal val="1"/>
          </c:dLbls>
          <c:cat>
            <c:strRef>
              <c:f>'ДППМ ЗУ'!$A$41:$A$43</c:f>
              <c:strCache>
                <c:ptCount val="3"/>
                <c:pt idx="0">
                  <c:v>СиО</c:v>
                </c:pt>
                <c:pt idx="1">
                  <c:v>ЛПХ</c:v>
                </c:pt>
                <c:pt idx="2">
                  <c:v>ИЖС</c:v>
                </c:pt>
              </c:strCache>
            </c:strRef>
          </c:cat>
          <c:val>
            <c:numRef>
              <c:f>'ДППМ ЗУ'!$B$41:$B$43</c:f>
              <c:numCache>
                <c:formatCode>0</c:formatCode>
                <c:ptCount val="3"/>
                <c:pt idx="0">
                  <c:v>69552</c:v>
                </c:pt>
                <c:pt idx="1">
                  <c:v>83467</c:v>
                </c:pt>
                <c:pt idx="2">
                  <c:v>157004</c:v>
                </c:pt>
              </c:numCache>
            </c:numRef>
          </c:val>
        </c:ser>
        <c:gapWidth val="269"/>
        <c:overlap val="-4"/>
        <c:axId val="137366528"/>
        <c:axId val="137425664"/>
      </c:barChart>
      <c:catAx>
        <c:axId val="137366528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 rot="0" vert="horz"/>
          <a:lstStyle/>
          <a:p>
            <a:pPr>
              <a:defRPr sz="800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137425664"/>
        <c:crosses val="autoZero"/>
        <c:auto val="1"/>
        <c:lblAlgn val="ctr"/>
        <c:lblOffset val="100"/>
      </c:catAx>
      <c:valAx>
        <c:axId val="137425664"/>
        <c:scaling>
          <c:orientation val="minMax"/>
          <c:max val="170000"/>
          <c:min val="0"/>
        </c:scaling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руб./сот.</a:t>
                </a:r>
              </a:p>
            </c:rich>
          </c:tx>
          <c:layout>
            <c:manualLayout>
              <c:xMode val="edge"/>
              <c:yMode val="edge"/>
              <c:x val="8.2091433486068514E-4"/>
              <c:y val="0.14493482806174651"/>
            </c:manualLayout>
          </c:layout>
        </c:title>
        <c:numFmt formatCode="0" sourceLinked="1"/>
        <c:tickLblPos val="nextTo"/>
        <c:txPr>
          <a:bodyPr/>
          <a:lstStyle/>
          <a:p>
            <a:pPr>
              <a:defRPr sz="900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137366528"/>
        <c:crosses val="autoZero"/>
        <c:crossBetween val="between"/>
      </c:valAx>
    </c:plotArea>
    <c:plotVisOnly val="1"/>
    <c:dispBlanksAs val="gap"/>
  </c:chart>
  <c:spPr>
    <a:ln>
      <a:noFill/>
    </a:ln>
  </c:spPr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5"/>
  <c:chart>
    <c:title>
      <c:tx>
        <c:rich>
          <a:bodyPr/>
          <a:lstStyle/>
          <a:p>
            <a:pPr>
              <a:defRPr sz="1100">
                <a:latin typeface="Arial" pitchFamily="34" charset="0"/>
                <a:cs typeface="Arial" pitchFamily="34" charset="0"/>
              </a:defRPr>
            </a:pPr>
            <a:r>
              <a:rPr lang="ru-RU" sz="1100">
                <a:latin typeface="Arial" pitchFamily="34" charset="0"/>
                <a:cs typeface="Arial" pitchFamily="34" charset="0"/>
              </a:rPr>
              <a:t>Структура предложения домов по направлениям</a:t>
            </a:r>
          </a:p>
          <a:p>
            <a:pPr>
              <a:defRPr sz="1100">
                <a:latin typeface="Arial" pitchFamily="34" charset="0"/>
                <a:cs typeface="Arial" pitchFamily="34" charset="0"/>
              </a:defRPr>
            </a:pPr>
            <a:r>
              <a:rPr lang="ru-RU" sz="1100">
                <a:latin typeface="Arial" pitchFamily="34" charset="0"/>
                <a:cs typeface="Arial" pitchFamily="34" charset="0"/>
              </a:rPr>
              <a:t>
</a:t>
            </a:r>
          </a:p>
        </c:rich>
      </c:tx>
      <c:layout>
        <c:manualLayout>
          <c:xMode val="edge"/>
          <c:yMode val="edge"/>
          <c:x val="0.15835160971850987"/>
          <c:y val="0"/>
        </c:manualLayout>
      </c:layout>
    </c:title>
    <c:plotArea>
      <c:layout>
        <c:manualLayout>
          <c:layoutTarget val="inner"/>
          <c:xMode val="edge"/>
          <c:yMode val="edge"/>
          <c:x val="0.32417231332322388"/>
          <c:y val="0.23161315151204054"/>
          <c:w val="0.4221656787283613"/>
          <c:h val="0.58524525555801343"/>
        </c:manualLayout>
      </c:layout>
      <c:pieChart>
        <c:varyColors val="1"/>
        <c:ser>
          <c:idx val="0"/>
          <c:order val="0"/>
          <c:explosion val="1"/>
          <c:dLbls>
            <c:dLbl>
              <c:idx val="0"/>
              <c:layout>
                <c:manualLayout>
                  <c:x val="0.11649941005080787"/>
                  <c:y val="0.1457325583587458"/>
                </c:manualLayout>
              </c:layout>
              <c:showCatName val="1"/>
              <c:showPercent val="1"/>
            </c:dLbl>
            <c:dLbl>
              <c:idx val="1"/>
              <c:layout>
                <c:manualLayout>
                  <c:x val="9.7982999831443082E-2"/>
                  <c:y val="0.12457980857928352"/>
                </c:manualLayout>
              </c:layout>
              <c:showCatName val="1"/>
              <c:showPercent val="1"/>
            </c:dLbl>
            <c:dLbl>
              <c:idx val="2"/>
              <c:layout>
                <c:manualLayout>
                  <c:x val="-5.5589684316983433E-2"/>
                  <c:y val="2.2478900231231232E-2"/>
                </c:manualLayout>
              </c:layout>
              <c:showCatName val="1"/>
              <c:showPercent val="1"/>
            </c:dLbl>
            <c:dLbl>
              <c:idx val="3"/>
              <c:layout>
                <c:manualLayout>
                  <c:x val="-0.15184916564328541"/>
                  <c:y val="3.3105330799779252E-2"/>
                </c:manualLayout>
              </c:layout>
              <c:showCatName val="1"/>
              <c:showPercent val="1"/>
            </c:dLbl>
            <c:dLbl>
              <c:idx val="4"/>
              <c:layout>
                <c:manualLayout>
                  <c:x val="-0.17740944939511963"/>
                  <c:y val="-7.9058719211694724E-3"/>
                </c:manualLayout>
              </c:layout>
              <c:showCatName val="1"/>
              <c:showPercent val="1"/>
            </c:dLbl>
            <c:dLbl>
              <c:idx val="5"/>
              <c:layout>
                <c:manualLayout>
                  <c:x val="-0.10007695827012462"/>
                  <c:y val="-4.8713276521222077E-3"/>
                </c:manualLayout>
              </c:layout>
              <c:showCatName val="1"/>
              <c:showPercent val="1"/>
            </c:dLbl>
            <c:dLbl>
              <c:idx val="6"/>
              <c:layout>
                <c:manualLayout>
                  <c:x val="-0.15839264128681171"/>
                  <c:y val="-2.7718819700095002E-2"/>
                </c:manualLayout>
              </c:layout>
              <c:showCatName val="1"/>
              <c:showPercent val="1"/>
            </c:dLbl>
            <c:dLbl>
              <c:idx val="7"/>
              <c:layout>
                <c:manualLayout>
                  <c:x val="3.8105035035758142E-2"/>
                  <c:y val="-5.9822061812913538E-2"/>
                </c:manualLayout>
              </c:layout>
              <c:showCatName val="1"/>
              <c:showPercent val="1"/>
            </c:dLbl>
            <c:dLbl>
              <c:idx val="8"/>
              <c:layout>
                <c:manualLayout>
                  <c:x val="0.31755835382451636"/>
                  <c:y val="-5.8301864346510133E-3"/>
                </c:manualLayout>
              </c:layout>
              <c:showCatName val="1"/>
              <c:showPercent val="1"/>
            </c:dLbl>
            <c:spPr>
              <a:ln>
                <a:solidFill>
                  <a:schemeClr val="bg1">
                    <a:lumMod val="85000"/>
                  </a:schemeClr>
                </a:solidFill>
              </a:ln>
            </c:spPr>
            <c:txPr>
              <a:bodyPr/>
              <a:lstStyle/>
              <a:p>
                <a:pPr>
                  <a:defRPr sz="900"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  <c:showCatName val="1"/>
            <c:showPercent val="1"/>
            <c:showLeaderLines val="1"/>
          </c:dLbls>
          <c:cat>
            <c:strRef>
              <c:f>дома!$A$3:$A$11</c:f>
              <c:strCache>
                <c:ptCount val="9"/>
                <c:pt idx="0">
                  <c:v>черта г.Тюмень</c:v>
                </c:pt>
                <c:pt idx="1">
                  <c:v>Московский тракт</c:v>
                </c:pt>
                <c:pt idx="2">
                  <c:v>Червишевский тракт</c:v>
                </c:pt>
                <c:pt idx="3">
                  <c:v>Велижанский тракт</c:v>
                </c:pt>
                <c:pt idx="4">
                  <c:v>Салаирский тракт</c:v>
                </c:pt>
                <c:pt idx="5">
                  <c:v>Ялуторовский тракт</c:v>
                </c:pt>
                <c:pt idx="6">
                  <c:v>Ирбитский тракт</c:v>
                </c:pt>
                <c:pt idx="7">
                  <c:v>Тобольский тракт</c:v>
                </c:pt>
                <c:pt idx="8">
                  <c:v>Старый Тобольский тракт</c:v>
                </c:pt>
              </c:strCache>
            </c:strRef>
          </c:cat>
          <c:val>
            <c:numRef>
              <c:f>дома!$B$3:$B$11</c:f>
              <c:numCache>
                <c:formatCode>General</c:formatCode>
                <c:ptCount val="9"/>
                <c:pt idx="0">
                  <c:v>726</c:v>
                </c:pt>
                <c:pt idx="1">
                  <c:v>320</c:v>
                </c:pt>
                <c:pt idx="2">
                  <c:v>274</c:v>
                </c:pt>
                <c:pt idx="3">
                  <c:v>261</c:v>
                </c:pt>
                <c:pt idx="4">
                  <c:v>337</c:v>
                </c:pt>
                <c:pt idx="5">
                  <c:v>311</c:v>
                </c:pt>
                <c:pt idx="6">
                  <c:v>174</c:v>
                </c:pt>
                <c:pt idx="7">
                  <c:v>168</c:v>
                </c:pt>
                <c:pt idx="8">
                  <c:v>113</c:v>
                </c:pt>
              </c:numCache>
            </c:numRef>
          </c:val>
        </c:ser>
        <c:dLbls>
          <c:showCatName val="1"/>
          <c:showPercent val="1"/>
        </c:dLbls>
        <c:firstSliceAng val="0"/>
      </c:pieChart>
    </c:plotArea>
    <c:plotVisOnly val="1"/>
  </c:chart>
  <c:spPr>
    <a:ln>
      <a:noFill/>
    </a:ln>
  </c:spPr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3"/>
  <c:chart>
    <c:title>
      <c:tx>
        <c:rich>
          <a:bodyPr/>
          <a:lstStyle/>
          <a:p>
            <a:pPr>
              <a:defRPr sz="1050">
                <a:latin typeface="Arial" pitchFamily="34" charset="0"/>
                <a:cs typeface="Arial" pitchFamily="34" charset="0"/>
              </a:defRPr>
            </a:pPr>
            <a:r>
              <a:rPr lang="ru-RU" sz="1050">
                <a:latin typeface="Arial" pitchFamily="34" charset="0"/>
                <a:cs typeface="Arial" pitchFamily="34" charset="0"/>
              </a:rPr>
              <a:t>Динамика удельной цены предложения домов, руб./кв.м.</a:t>
            </a:r>
          </a:p>
        </c:rich>
      </c:tx>
      <c:layout>
        <c:manualLayout>
          <c:xMode val="edge"/>
          <c:yMode val="edge"/>
          <c:x val="0.24869094488189075"/>
          <c:y val="1.0399348003259958E-2"/>
        </c:manualLayout>
      </c:layout>
    </c:title>
    <c:plotArea>
      <c:layout>
        <c:manualLayout>
          <c:layoutTarget val="inner"/>
          <c:xMode val="edge"/>
          <c:yMode val="edge"/>
          <c:x val="0.1015068231413602"/>
          <c:y val="0.22685634555903594"/>
          <c:w val="0.86893435195600555"/>
          <c:h val="0.6007922801471377"/>
        </c:manualLayout>
      </c:layout>
      <c:barChart>
        <c:barDir val="col"/>
        <c:grouping val="clustered"/>
        <c:ser>
          <c:idx val="0"/>
          <c:order val="0"/>
          <c:tx>
            <c:strRef>
              <c:f>дома!$A$37</c:f>
              <c:strCache>
                <c:ptCount val="1"/>
                <c:pt idx="0">
                  <c:v>Удельная цена предложения домов</c:v>
                </c:pt>
              </c:strCache>
            </c:strRef>
          </c:tx>
          <c:dLbls>
            <c:dLbl>
              <c:idx val="1"/>
              <c:layout>
                <c:manualLayout>
                  <c:x val="-7.9365079365079413E-3"/>
                  <c:y val="1.2944980520097718E-2"/>
                </c:manualLayout>
              </c:layout>
              <c:showVal val="1"/>
            </c:dLbl>
            <c:dLbl>
              <c:idx val="4"/>
              <c:layout>
                <c:manualLayout>
                  <c:x val="-7.9365079365079413E-3"/>
                  <c:y val="0"/>
                </c:manualLayout>
              </c:layout>
              <c:showVal val="1"/>
            </c:dLbl>
            <c:dLbl>
              <c:idx val="5"/>
              <c:layout>
                <c:manualLayout>
                  <c:x val="-9.9206349206350623E-3"/>
                  <c:y val="3.2362451300244227E-3"/>
                </c:manualLayout>
              </c:layout>
              <c:showVal val="1"/>
            </c:dLbl>
            <c:dLbl>
              <c:idx val="6"/>
              <c:layout>
                <c:manualLayout>
                  <c:x val="-1.9841269841270087E-3"/>
                  <c:y val="9.7087353900732892E-3"/>
                </c:manualLayout>
              </c:layout>
              <c:showVal val="1"/>
            </c:dLbl>
            <c:txPr>
              <a:bodyPr rot="0" vert="horz"/>
              <a:lstStyle/>
              <a:p>
                <a:pPr>
                  <a:defRPr sz="900"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  <c:showVal val="1"/>
          </c:dLbls>
          <c:cat>
            <c:strRef>
              <c:f>дома!$C$38:$D$38</c:f>
              <c:strCache>
                <c:ptCount val="2"/>
                <c:pt idx="0">
                  <c:v>3 кв.2014</c:v>
                </c:pt>
                <c:pt idx="1">
                  <c:v>4 кв.2014</c:v>
                </c:pt>
              </c:strCache>
            </c:strRef>
          </c:cat>
          <c:val>
            <c:numRef>
              <c:f>дома!$C$39:$D$39</c:f>
              <c:numCache>
                <c:formatCode>General</c:formatCode>
                <c:ptCount val="2"/>
                <c:pt idx="0">
                  <c:v>38003</c:v>
                </c:pt>
                <c:pt idx="1">
                  <c:v>37167</c:v>
                </c:pt>
              </c:numCache>
            </c:numRef>
          </c:val>
        </c:ser>
        <c:gapWidth val="269"/>
        <c:overlap val="-4"/>
        <c:axId val="149950464"/>
        <c:axId val="149952000"/>
      </c:barChart>
      <c:catAx>
        <c:axId val="149950464"/>
        <c:scaling>
          <c:orientation val="minMax"/>
        </c:scaling>
        <c:axPos val="b"/>
        <c:majorTickMark val="none"/>
        <c:tickLblPos val="nextTo"/>
        <c:txPr>
          <a:bodyPr rot="0" vert="horz"/>
          <a:lstStyle/>
          <a:p>
            <a:pPr>
              <a:defRPr sz="800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149952000"/>
        <c:crosses val="autoZero"/>
        <c:auto val="1"/>
        <c:lblAlgn val="ctr"/>
        <c:lblOffset val="100"/>
      </c:catAx>
      <c:valAx>
        <c:axId val="149952000"/>
        <c:scaling>
          <c:orientation val="minMax"/>
          <c:max val="50000"/>
          <c:min val="0"/>
        </c:scaling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руб./кв.м.</a:t>
                </a:r>
              </a:p>
            </c:rich>
          </c:tx>
          <c:layout>
            <c:manualLayout>
              <c:xMode val="edge"/>
              <c:yMode val="edge"/>
              <c:x val="4.7565015071805982E-4"/>
              <c:y val="0.1060800671291553"/>
            </c:manualLayout>
          </c:layout>
        </c:title>
        <c:numFmt formatCode="General" sourceLinked="1"/>
        <c:tickLblPos val="nextTo"/>
        <c:txPr>
          <a:bodyPr/>
          <a:lstStyle/>
          <a:p>
            <a:pPr>
              <a:defRPr sz="900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149950464"/>
        <c:crosses val="autoZero"/>
        <c:crossBetween val="between"/>
      </c:valAx>
    </c:plotArea>
    <c:plotVisOnly val="1"/>
    <c:dispBlanksAs val="gap"/>
  </c:chart>
  <c:spPr>
    <a:ln>
      <a:noFill/>
    </a:ln>
  </c:spPr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5"/>
  <c:chart>
    <c:title>
      <c:tx>
        <c:rich>
          <a:bodyPr/>
          <a:lstStyle/>
          <a:p>
            <a:pPr>
              <a:defRPr sz="1000">
                <a:latin typeface="Arial" pitchFamily="34" charset="0"/>
                <a:cs typeface="Arial" pitchFamily="34" charset="0"/>
              </a:defRPr>
            </a:pPr>
            <a:r>
              <a:rPr lang="ru-RU" sz="1000">
                <a:latin typeface="Arial" pitchFamily="34" charset="0"/>
                <a:cs typeface="Arial" pitchFamily="34" charset="0"/>
              </a:rPr>
              <a:t>Структура предложения дач по направлениям</a:t>
            </a:r>
          </a:p>
          <a:p>
            <a:pPr>
              <a:defRPr sz="1000">
                <a:latin typeface="Arial" pitchFamily="34" charset="0"/>
                <a:cs typeface="Arial" pitchFamily="34" charset="0"/>
              </a:defRPr>
            </a:pPr>
            <a:r>
              <a:rPr lang="ru-RU" sz="1000">
                <a:latin typeface="Arial" pitchFamily="34" charset="0"/>
                <a:cs typeface="Arial" pitchFamily="34" charset="0"/>
              </a:rPr>
              <a:t>
</a:t>
            </a:r>
          </a:p>
        </c:rich>
      </c:tx>
      <c:layout>
        <c:manualLayout>
          <c:xMode val="edge"/>
          <c:yMode val="edge"/>
          <c:x val="0.19015589106407568"/>
          <c:y val="1.6511873272022845E-2"/>
        </c:manualLayout>
      </c:layout>
    </c:title>
    <c:plotArea>
      <c:layout>
        <c:manualLayout>
          <c:layoutTarget val="inner"/>
          <c:xMode val="edge"/>
          <c:yMode val="edge"/>
          <c:x val="0.32810564941518233"/>
          <c:y val="0.36783614548181481"/>
          <c:w val="0.4221656787283613"/>
          <c:h val="0.58524525555801321"/>
        </c:manualLayout>
      </c:layout>
      <c:pieChart>
        <c:varyColors val="1"/>
        <c:ser>
          <c:idx val="0"/>
          <c:order val="0"/>
          <c:dLbls>
            <c:dLbl>
              <c:idx val="0"/>
              <c:layout>
                <c:manualLayout>
                  <c:x val="9.448106142695463E-2"/>
                  <c:y val="3.0149445454586841E-2"/>
                </c:manualLayout>
              </c:layout>
              <c:showCatName val="1"/>
              <c:showPercent val="1"/>
            </c:dLbl>
            <c:dLbl>
              <c:idx val="1"/>
              <c:layout>
                <c:manualLayout>
                  <c:x val="7.8411134388018014E-2"/>
                  <c:y val="8.996695675124471E-3"/>
                </c:manualLayout>
              </c:layout>
              <c:showCatName val="1"/>
              <c:showPercent val="1"/>
            </c:dLbl>
            <c:dLbl>
              <c:idx val="2"/>
              <c:layout>
                <c:manualLayout>
                  <c:x val="5.6948541982710876E-2"/>
                  <c:y val="4.3015705131747198E-2"/>
                </c:manualLayout>
              </c:layout>
              <c:showCatName val="1"/>
              <c:showPercent val="1"/>
            </c:dLbl>
            <c:dLbl>
              <c:idx val="3"/>
              <c:layout>
                <c:manualLayout>
                  <c:x val="9.6187242649714653E-3"/>
                  <c:y val="2.9929395489918607E-2"/>
                </c:manualLayout>
              </c:layout>
              <c:showCatName val="1"/>
              <c:showPercent val="1"/>
            </c:dLbl>
            <c:dLbl>
              <c:idx val="4"/>
              <c:layout>
                <c:manualLayout>
                  <c:x val="-0.19453509595704221"/>
                  <c:y val="-1.6161808557180943E-2"/>
                </c:manualLayout>
              </c:layout>
              <c:showCatName val="1"/>
              <c:showPercent val="1"/>
            </c:dLbl>
            <c:dLbl>
              <c:idx val="5"/>
              <c:layout>
                <c:manualLayout>
                  <c:x val="-0.18212025331695925"/>
                  <c:y val="4.8792260481951913E-2"/>
                </c:manualLayout>
              </c:layout>
              <c:showCatName val="1"/>
              <c:showPercent val="1"/>
            </c:dLbl>
            <c:dLbl>
              <c:idx val="6"/>
              <c:layout>
                <c:manualLayout>
                  <c:x val="-0.23668010306051188"/>
                  <c:y val="-6.8998502880151719E-2"/>
                </c:manualLayout>
              </c:layout>
              <c:showCatName val="1"/>
              <c:showPercent val="1"/>
            </c:dLbl>
            <c:dLbl>
              <c:idx val="7"/>
              <c:layout>
                <c:manualLayout>
                  <c:x val="-3.284297719665806E-2"/>
                  <c:y val="-0.10522971331097516"/>
                </c:manualLayout>
              </c:layout>
              <c:showCatName val="1"/>
              <c:showPercent val="1"/>
            </c:dLbl>
            <c:dLbl>
              <c:idx val="8"/>
              <c:layout>
                <c:manualLayout>
                  <c:x val="9.7374653856341309E-2"/>
                  <c:y val="-8.013361615875321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Старый Тобольский тракт
0,17%</a:t>
                    </a:r>
                  </a:p>
                </c:rich>
              </c:tx>
              <c:showCatName val="1"/>
              <c:showPercent val="1"/>
            </c:dLbl>
            <c:spPr>
              <a:ln>
                <a:solidFill>
                  <a:schemeClr val="bg1">
                    <a:lumMod val="85000"/>
                  </a:schemeClr>
                </a:solidFill>
              </a:ln>
            </c:spPr>
            <c:txPr>
              <a:bodyPr/>
              <a:lstStyle/>
              <a:p>
                <a:pPr>
                  <a:defRPr sz="900"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  <c:showCatName val="1"/>
            <c:showPercent val="1"/>
            <c:showLeaderLines val="1"/>
          </c:dLbls>
          <c:cat>
            <c:strRef>
              <c:f>дачи!$A$3:$A$11</c:f>
              <c:strCache>
                <c:ptCount val="9"/>
                <c:pt idx="0">
                  <c:v>черта г.Тюмень</c:v>
                </c:pt>
                <c:pt idx="1">
                  <c:v>Московский тракт</c:v>
                </c:pt>
                <c:pt idx="2">
                  <c:v>Червишевский тракт</c:v>
                </c:pt>
                <c:pt idx="3">
                  <c:v>Велижанский тракт</c:v>
                </c:pt>
                <c:pt idx="4">
                  <c:v>Салаирский тракт</c:v>
                </c:pt>
                <c:pt idx="5">
                  <c:v>Ялуторовский тракт</c:v>
                </c:pt>
                <c:pt idx="6">
                  <c:v>Ирбитский тракт</c:v>
                </c:pt>
                <c:pt idx="7">
                  <c:v>Тобольский тракт</c:v>
                </c:pt>
                <c:pt idx="8">
                  <c:v>Старый Тобольский тракт</c:v>
                </c:pt>
              </c:strCache>
            </c:strRef>
          </c:cat>
          <c:val>
            <c:numRef>
              <c:f>дачи!$B$3:$B$11</c:f>
              <c:numCache>
                <c:formatCode>General</c:formatCode>
                <c:ptCount val="9"/>
                <c:pt idx="0">
                  <c:v>128</c:v>
                </c:pt>
                <c:pt idx="1">
                  <c:v>260</c:v>
                </c:pt>
                <c:pt idx="2">
                  <c:v>37</c:v>
                </c:pt>
                <c:pt idx="3">
                  <c:v>376</c:v>
                </c:pt>
                <c:pt idx="4">
                  <c:v>549</c:v>
                </c:pt>
                <c:pt idx="5">
                  <c:v>320</c:v>
                </c:pt>
                <c:pt idx="6">
                  <c:v>14</c:v>
                </c:pt>
                <c:pt idx="7">
                  <c:v>115</c:v>
                </c:pt>
                <c:pt idx="8">
                  <c:v>3</c:v>
                </c:pt>
              </c:numCache>
            </c:numRef>
          </c:val>
        </c:ser>
        <c:dLbls>
          <c:showCatName val="1"/>
          <c:showPercent val="1"/>
        </c:dLbls>
        <c:firstSliceAng val="0"/>
      </c:pieChart>
    </c:plotArea>
    <c:plotVisOnly val="1"/>
  </c:chart>
  <c:spPr>
    <a:ln>
      <a:noFill/>
    </a:ln>
  </c:spPr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3"/>
  <c:chart>
    <c:title>
      <c:tx>
        <c:rich>
          <a:bodyPr/>
          <a:lstStyle/>
          <a:p>
            <a:pPr>
              <a:defRPr sz="1050">
                <a:latin typeface="Arial" pitchFamily="34" charset="0"/>
                <a:cs typeface="Arial" pitchFamily="34" charset="0"/>
              </a:defRPr>
            </a:pPr>
            <a:r>
              <a:rPr lang="ru-RU" sz="1050">
                <a:latin typeface="Arial" pitchFamily="34" charset="0"/>
                <a:cs typeface="Arial" pitchFamily="34" charset="0"/>
              </a:rPr>
              <a:t>Динамика удельной цены предложения дач, руб./кв.м.</a:t>
            </a:r>
          </a:p>
        </c:rich>
      </c:tx>
      <c:layout>
        <c:manualLayout>
          <c:xMode val="edge"/>
          <c:yMode val="edge"/>
          <c:x val="0.24869094488189064"/>
          <c:y val="1.0399348003259958E-2"/>
        </c:manualLayout>
      </c:layout>
    </c:title>
    <c:plotArea>
      <c:layout>
        <c:manualLayout>
          <c:layoutTarget val="inner"/>
          <c:xMode val="edge"/>
          <c:yMode val="edge"/>
          <c:x val="0.1015068231413602"/>
          <c:y val="0.22685634555903594"/>
          <c:w val="0.86893435195600555"/>
          <c:h val="0.6007922801471377"/>
        </c:manualLayout>
      </c:layout>
      <c:barChart>
        <c:barDir val="col"/>
        <c:grouping val="clustered"/>
        <c:ser>
          <c:idx val="0"/>
          <c:order val="0"/>
          <c:tx>
            <c:strRef>
              <c:f>дачи!$A$39</c:f>
              <c:strCache>
                <c:ptCount val="1"/>
                <c:pt idx="0">
                  <c:v>Удельная цена предложения дач</c:v>
                </c:pt>
              </c:strCache>
            </c:strRef>
          </c:tx>
          <c:dLbls>
            <c:dLbl>
              <c:idx val="1"/>
              <c:layout>
                <c:manualLayout>
                  <c:x val="-7.9365079365079413E-3"/>
                  <c:y val="1.2944980520097718E-2"/>
                </c:manualLayout>
              </c:layout>
              <c:showVal val="1"/>
            </c:dLbl>
            <c:dLbl>
              <c:idx val="4"/>
              <c:layout>
                <c:manualLayout>
                  <c:x val="-7.9365079365079413E-3"/>
                  <c:y val="0"/>
                </c:manualLayout>
              </c:layout>
              <c:showVal val="1"/>
            </c:dLbl>
            <c:dLbl>
              <c:idx val="5"/>
              <c:layout>
                <c:manualLayout>
                  <c:x val="-9.9206349206350571E-3"/>
                  <c:y val="3.2362451300244227E-3"/>
                </c:manualLayout>
              </c:layout>
              <c:showVal val="1"/>
            </c:dLbl>
            <c:dLbl>
              <c:idx val="6"/>
              <c:layout>
                <c:manualLayout>
                  <c:x val="-1.9841269841270079E-3"/>
                  <c:y val="9.7087353900732892E-3"/>
                </c:manualLayout>
              </c:layout>
              <c:showVal val="1"/>
            </c:dLbl>
            <c:txPr>
              <a:bodyPr rot="0" vert="horz"/>
              <a:lstStyle/>
              <a:p>
                <a:pPr>
                  <a:defRPr sz="900"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  <c:showVal val="1"/>
          </c:dLbls>
          <c:cat>
            <c:strRef>
              <c:f>дачи!$C$40:$D$40</c:f>
              <c:strCache>
                <c:ptCount val="2"/>
                <c:pt idx="0">
                  <c:v>3 кв.2014</c:v>
                </c:pt>
                <c:pt idx="1">
                  <c:v>4 кв.2014</c:v>
                </c:pt>
              </c:strCache>
            </c:strRef>
          </c:cat>
          <c:val>
            <c:numRef>
              <c:f>дачи!$C$41:$D$41</c:f>
              <c:numCache>
                <c:formatCode>General</c:formatCode>
                <c:ptCount val="2"/>
                <c:pt idx="0">
                  <c:v>29152</c:v>
                </c:pt>
                <c:pt idx="1">
                  <c:v>28071</c:v>
                </c:pt>
              </c:numCache>
            </c:numRef>
          </c:val>
        </c:ser>
        <c:gapWidth val="269"/>
        <c:overlap val="-4"/>
        <c:axId val="150310912"/>
        <c:axId val="150312448"/>
      </c:barChart>
      <c:catAx>
        <c:axId val="150310912"/>
        <c:scaling>
          <c:orientation val="minMax"/>
        </c:scaling>
        <c:axPos val="b"/>
        <c:majorTickMark val="none"/>
        <c:tickLblPos val="nextTo"/>
        <c:txPr>
          <a:bodyPr rot="0" vert="horz"/>
          <a:lstStyle/>
          <a:p>
            <a:pPr>
              <a:defRPr sz="800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150312448"/>
        <c:crosses val="autoZero"/>
        <c:auto val="1"/>
        <c:lblAlgn val="ctr"/>
        <c:lblOffset val="100"/>
      </c:catAx>
      <c:valAx>
        <c:axId val="150312448"/>
        <c:scaling>
          <c:orientation val="minMax"/>
          <c:max val="50000"/>
          <c:min val="0"/>
        </c:scaling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руб./кв.м.</a:t>
                </a:r>
              </a:p>
            </c:rich>
          </c:tx>
          <c:layout>
            <c:manualLayout>
              <c:xMode val="edge"/>
              <c:yMode val="edge"/>
              <c:x val="4.7565015071805982E-4"/>
              <c:y val="0.1060800671291553"/>
            </c:manualLayout>
          </c:layout>
        </c:title>
        <c:numFmt formatCode="General" sourceLinked="1"/>
        <c:tickLblPos val="nextTo"/>
        <c:txPr>
          <a:bodyPr/>
          <a:lstStyle/>
          <a:p>
            <a:pPr>
              <a:defRPr sz="900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150310912"/>
        <c:crosses val="autoZero"/>
        <c:crossBetween val="between"/>
      </c:valAx>
    </c:plotArea>
    <c:plotVisOnly val="1"/>
    <c:dispBlanksAs val="gap"/>
  </c:chart>
  <c:spPr>
    <a:ln>
      <a:noFill/>
    </a:ln>
  </c:spPr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3"/>
  <c:chart>
    <c:title>
      <c:tx>
        <c:rich>
          <a:bodyPr/>
          <a:lstStyle/>
          <a:p>
            <a:pPr>
              <a:defRPr sz="1050">
                <a:latin typeface="Arial" pitchFamily="34" charset="0"/>
                <a:cs typeface="Arial" pitchFamily="34" charset="0"/>
              </a:defRPr>
            </a:pPr>
            <a:r>
              <a:rPr lang="ru-RU" sz="1050">
                <a:latin typeface="Arial" pitchFamily="34" charset="0"/>
                <a:cs typeface="Arial" pitchFamily="34" charset="0"/>
              </a:rPr>
              <a:t>Динамика средней цены дач в разрезе по трактам, тыс.руб.</a:t>
            </a:r>
          </a:p>
        </c:rich>
      </c:tx>
      <c:layout>
        <c:manualLayout>
          <c:xMode val="edge"/>
          <c:yMode val="edge"/>
          <c:x val="0.22091316710411199"/>
          <c:y val="1.687168270632838E-2"/>
        </c:manualLayout>
      </c:layout>
    </c:title>
    <c:plotArea>
      <c:layout>
        <c:manualLayout>
          <c:layoutTarget val="inner"/>
          <c:xMode val="edge"/>
          <c:yMode val="edge"/>
          <c:x val="6.8918572678415196E-2"/>
          <c:y val="0.10789743192481922"/>
          <c:w val="0.86893435195600555"/>
          <c:h val="0.57932750072907568"/>
        </c:manualLayout>
      </c:layout>
      <c:barChart>
        <c:barDir val="col"/>
        <c:grouping val="clustered"/>
        <c:ser>
          <c:idx val="0"/>
          <c:order val="0"/>
          <c:tx>
            <c:strRef>
              <c:f>дачи!$D$24</c:f>
              <c:strCache>
                <c:ptCount val="1"/>
                <c:pt idx="0">
                  <c:v>3 кв.2014</c:v>
                </c:pt>
              </c:strCache>
            </c:strRef>
          </c:tx>
          <c:dLbls>
            <c:dLbl>
              <c:idx val="1"/>
              <c:layout>
                <c:manualLayout>
                  <c:x val="-7.9365079365079413E-3"/>
                  <c:y val="1.2944980520097718E-2"/>
                </c:manualLayout>
              </c:layout>
              <c:showVal val="1"/>
            </c:dLbl>
            <c:dLbl>
              <c:idx val="4"/>
              <c:layout>
                <c:manualLayout>
                  <c:x val="-7.9365079365079413E-3"/>
                  <c:y val="0"/>
                </c:manualLayout>
              </c:layout>
              <c:showVal val="1"/>
            </c:dLbl>
            <c:dLbl>
              <c:idx val="5"/>
              <c:layout>
                <c:manualLayout>
                  <c:x val="-9.9206349206350294E-3"/>
                  <c:y val="3.2362451300244227E-3"/>
                </c:manualLayout>
              </c:layout>
              <c:showVal val="1"/>
            </c:dLbl>
            <c:dLbl>
              <c:idx val="6"/>
              <c:layout>
                <c:manualLayout>
                  <c:x val="-1.9841269841270035E-3"/>
                  <c:y val="9.7087353900732892E-3"/>
                </c:manualLayout>
              </c:layout>
              <c:showVal val="1"/>
            </c:dLbl>
            <c:txPr>
              <a:bodyPr rot="0" vert="horz"/>
              <a:lstStyle/>
              <a:p>
                <a:pPr>
                  <a:defRPr sz="900"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  <c:showVal val="1"/>
          </c:dLbls>
          <c:cat>
            <c:strRef>
              <c:f>дома!$A$24:$A$32</c:f>
              <c:strCache>
                <c:ptCount val="9"/>
                <c:pt idx="0">
                  <c:v>черта г.Тюмень</c:v>
                </c:pt>
                <c:pt idx="1">
                  <c:v>Ирбитский тракт</c:v>
                </c:pt>
                <c:pt idx="2">
                  <c:v>Салаирский тракт</c:v>
                </c:pt>
                <c:pt idx="3">
                  <c:v>Московский тракт</c:v>
                </c:pt>
                <c:pt idx="4">
                  <c:v>Старый Тобольский тракт</c:v>
                </c:pt>
                <c:pt idx="5">
                  <c:v>Ялуторовский тракт</c:v>
                </c:pt>
                <c:pt idx="6">
                  <c:v>Тобольский тракт</c:v>
                </c:pt>
                <c:pt idx="7">
                  <c:v>Червишевский тракт</c:v>
                </c:pt>
                <c:pt idx="8">
                  <c:v>Велижанский тракт</c:v>
                </c:pt>
              </c:strCache>
            </c:strRef>
          </c:cat>
          <c:val>
            <c:numRef>
              <c:f>дачи!$D$25:$D$32</c:f>
              <c:numCache>
                <c:formatCode>0</c:formatCode>
                <c:ptCount val="8"/>
                <c:pt idx="0">
                  <c:v>2500</c:v>
                </c:pt>
                <c:pt idx="1">
                  <c:v>1593.9971346704872</c:v>
                </c:pt>
                <c:pt idx="2">
                  <c:v>1397.5633802816899</c:v>
                </c:pt>
                <c:pt idx="3">
                  <c:v>1404.6278317152103</c:v>
                </c:pt>
                <c:pt idx="4">
                  <c:v>1442.0408163265306</c:v>
                </c:pt>
                <c:pt idx="5">
                  <c:v>1262.5608974358975</c:v>
                </c:pt>
                <c:pt idx="6">
                  <c:v>1241.2213740458012</c:v>
                </c:pt>
                <c:pt idx="7">
                  <c:v>1052.9069767441863</c:v>
                </c:pt>
              </c:numCache>
            </c:numRef>
          </c:val>
        </c:ser>
        <c:ser>
          <c:idx val="1"/>
          <c:order val="1"/>
          <c:tx>
            <c:strRef>
              <c:f>дачи!$E$24</c:f>
              <c:strCache>
                <c:ptCount val="1"/>
                <c:pt idx="0">
                  <c:v>4 кв.2014</c:v>
                </c:pt>
              </c:strCache>
            </c:strRef>
          </c:tx>
          <c:dLbls>
            <c:dLbl>
              <c:idx val="0"/>
              <c:layout>
                <c:manualLayout>
                  <c:x val="1.7857142857142856E-2"/>
                  <c:y val="0"/>
                </c:manualLayout>
              </c:layout>
              <c:showVal val="1"/>
            </c:dLbl>
            <c:dLbl>
              <c:idx val="1"/>
              <c:layout>
                <c:manualLayout>
                  <c:x val="1.9841269841270035E-3"/>
                  <c:y val="-1.6181225650122304E-2"/>
                </c:manualLayout>
              </c:layout>
              <c:showVal val="1"/>
            </c:dLbl>
            <c:dLbl>
              <c:idx val="2"/>
              <c:layout>
                <c:manualLayout>
                  <c:x val="5.9523809523809521E-3"/>
                  <c:y val="9.7087353900732892E-3"/>
                </c:manualLayout>
              </c:layout>
              <c:showVal val="1"/>
            </c:dLbl>
            <c:dLbl>
              <c:idx val="3"/>
              <c:layout>
                <c:manualLayout>
                  <c:x val="1.7857142857142856E-2"/>
                  <c:y val="9.7084805676221266E-3"/>
                </c:manualLayout>
              </c:layout>
              <c:showVal val="1"/>
            </c:dLbl>
            <c:dLbl>
              <c:idx val="4"/>
              <c:layout>
                <c:manualLayout>
                  <c:x val="7.9365079365079413E-3"/>
                  <c:y val="0"/>
                </c:manualLayout>
              </c:layout>
              <c:showVal val="1"/>
            </c:dLbl>
            <c:dLbl>
              <c:idx val="5"/>
              <c:layout>
                <c:manualLayout>
                  <c:x val="1.1904761904761921E-2"/>
                  <c:y val="0"/>
                </c:manualLayout>
              </c:layout>
              <c:showVal val="1"/>
            </c:dLbl>
            <c:dLbl>
              <c:idx val="6"/>
              <c:layout>
                <c:manualLayout>
                  <c:x val="9.9206349206350294E-3"/>
                  <c:y val="0"/>
                </c:manualLayout>
              </c:layout>
              <c:showVal val="1"/>
            </c:dLbl>
            <c:dLbl>
              <c:idx val="7"/>
              <c:layout>
                <c:manualLayout>
                  <c:x val="1.7857142857142856E-2"/>
                  <c:y val="3.2362451300244227E-3"/>
                </c:manualLayout>
              </c:layout>
              <c:showVal val="1"/>
            </c:dLbl>
            <c:dLbl>
              <c:idx val="8"/>
              <c:layout>
                <c:manualLayout>
                  <c:x val="9.9206349206350294E-3"/>
                  <c:y val="-2.9665237663201619E-17"/>
                </c:manualLayout>
              </c:layout>
              <c:showVal val="1"/>
            </c:dLbl>
            <c:txPr>
              <a:bodyPr/>
              <a:lstStyle/>
              <a:p>
                <a:pPr>
                  <a:defRPr sz="900"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  <c:showVal val="1"/>
          </c:dLbls>
          <c:cat>
            <c:strRef>
              <c:f>дома!$A$24:$A$32</c:f>
              <c:strCache>
                <c:ptCount val="9"/>
                <c:pt idx="0">
                  <c:v>черта г.Тюмень</c:v>
                </c:pt>
                <c:pt idx="1">
                  <c:v>Ирбитский тракт</c:v>
                </c:pt>
                <c:pt idx="2">
                  <c:v>Салаирский тракт</c:v>
                </c:pt>
                <c:pt idx="3">
                  <c:v>Московский тракт</c:v>
                </c:pt>
                <c:pt idx="4">
                  <c:v>Старый Тобольский тракт</c:v>
                </c:pt>
                <c:pt idx="5">
                  <c:v>Ялуторовский тракт</c:v>
                </c:pt>
                <c:pt idx="6">
                  <c:v>Тобольский тракт</c:v>
                </c:pt>
                <c:pt idx="7">
                  <c:v>Червишевский тракт</c:v>
                </c:pt>
                <c:pt idx="8">
                  <c:v>Велижанский тракт</c:v>
                </c:pt>
              </c:strCache>
            </c:strRef>
          </c:cat>
          <c:val>
            <c:numRef>
              <c:f>дачи!$E$25:$E$32</c:f>
              <c:numCache>
                <c:formatCode>0</c:formatCode>
                <c:ptCount val="8"/>
                <c:pt idx="0">
                  <c:v>2889</c:v>
                </c:pt>
                <c:pt idx="1">
                  <c:v>1745</c:v>
                </c:pt>
                <c:pt idx="2">
                  <c:v>1498</c:v>
                </c:pt>
                <c:pt idx="3">
                  <c:v>1441</c:v>
                </c:pt>
                <c:pt idx="4">
                  <c:v>1414</c:v>
                </c:pt>
                <c:pt idx="5">
                  <c:v>1253</c:v>
                </c:pt>
                <c:pt idx="6">
                  <c:v>1280</c:v>
                </c:pt>
                <c:pt idx="7">
                  <c:v>1087</c:v>
                </c:pt>
              </c:numCache>
            </c:numRef>
          </c:val>
        </c:ser>
        <c:overlap val="-16"/>
        <c:axId val="152167552"/>
        <c:axId val="152169088"/>
      </c:barChart>
      <c:lineChart>
        <c:grouping val="standard"/>
        <c:ser>
          <c:idx val="2"/>
          <c:order val="2"/>
          <c:tx>
            <c:strRef>
              <c:f>дачи!$F$24</c:f>
              <c:strCache>
                <c:ptCount val="1"/>
                <c:pt idx="0">
                  <c:v>Темп прироста, %</c:v>
                </c:pt>
              </c:strCache>
            </c:strRef>
          </c:tx>
          <c:spPr>
            <a:ln w="22225">
              <a:prstDash val="dashDot"/>
            </a:ln>
          </c:spPr>
          <c:marker>
            <c:symbol val="circle"/>
            <c:size val="7"/>
            <c:spPr>
              <a:solidFill>
                <a:schemeClr val="accent3">
                  <a:lumMod val="60000"/>
                  <a:lumOff val="40000"/>
                </a:schemeClr>
              </a:solidFill>
            </c:spPr>
          </c:marker>
          <c:dLbls>
            <c:txPr>
              <a:bodyPr/>
              <a:lstStyle/>
              <a:p>
                <a:pPr>
                  <a:defRPr sz="800"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  <c:dLblPos val="b"/>
            <c:showVal val="1"/>
          </c:dLbls>
          <c:cat>
            <c:strRef>
              <c:f>дома!$A$24:$A$32</c:f>
              <c:strCache>
                <c:ptCount val="9"/>
                <c:pt idx="0">
                  <c:v>черта г.Тюмень</c:v>
                </c:pt>
                <c:pt idx="1">
                  <c:v>Ирбитский тракт</c:v>
                </c:pt>
                <c:pt idx="2">
                  <c:v>Салаирский тракт</c:v>
                </c:pt>
                <c:pt idx="3">
                  <c:v>Московский тракт</c:v>
                </c:pt>
                <c:pt idx="4">
                  <c:v>Старый Тобольский тракт</c:v>
                </c:pt>
                <c:pt idx="5">
                  <c:v>Ялуторовский тракт</c:v>
                </c:pt>
                <c:pt idx="6">
                  <c:v>Тобольский тракт</c:v>
                </c:pt>
                <c:pt idx="7">
                  <c:v>Червишевский тракт</c:v>
                </c:pt>
                <c:pt idx="8">
                  <c:v>Велижанский тракт</c:v>
                </c:pt>
              </c:strCache>
            </c:strRef>
          </c:cat>
          <c:val>
            <c:numRef>
              <c:f>дачи!$F$25:$F$32</c:f>
              <c:numCache>
                <c:formatCode>0.0</c:formatCode>
                <c:ptCount val="8"/>
                <c:pt idx="0">
                  <c:v>15.560000000000002</c:v>
                </c:pt>
                <c:pt idx="1">
                  <c:v>9.4732206253763689</c:v>
                </c:pt>
                <c:pt idx="2">
                  <c:v>7.186552047325832</c:v>
                </c:pt>
                <c:pt idx="3">
                  <c:v>2.5894523420040088</c:v>
                </c:pt>
                <c:pt idx="4">
                  <c:v>-1.9445230682139822</c:v>
                </c:pt>
                <c:pt idx="5">
                  <c:v>-0.75726227980878491</c:v>
                </c:pt>
                <c:pt idx="6">
                  <c:v>3.1242312423124203</c:v>
                </c:pt>
                <c:pt idx="7">
                  <c:v>3.237990060739933</c:v>
                </c:pt>
              </c:numCache>
            </c:numRef>
          </c:val>
          <c:smooth val="1"/>
        </c:ser>
        <c:marker val="1"/>
        <c:axId val="152189184"/>
        <c:axId val="152187648"/>
      </c:lineChart>
      <c:catAx>
        <c:axId val="152167552"/>
        <c:scaling>
          <c:orientation val="minMax"/>
        </c:scaling>
        <c:axPos val="b"/>
        <c:majorTickMark val="none"/>
        <c:tickLblPos val="nextTo"/>
        <c:txPr>
          <a:bodyPr rot="-2040000" vert="horz"/>
          <a:lstStyle/>
          <a:p>
            <a:pPr>
              <a:defRPr sz="800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152169088"/>
        <c:crosses val="autoZero"/>
        <c:auto val="1"/>
        <c:lblAlgn val="ctr"/>
        <c:lblOffset val="100"/>
      </c:catAx>
      <c:valAx>
        <c:axId val="152169088"/>
        <c:scaling>
          <c:orientation val="minMax"/>
          <c:max val="3000"/>
          <c:min val="0"/>
        </c:scaling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тыс.руб.</a:t>
                </a:r>
              </a:p>
            </c:rich>
          </c:tx>
          <c:layout>
            <c:manualLayout>
              <c:xMode val="edge"/>
              <c:yMode val="edge"/>
              <c:x val="8.2811430749375802E-5"/>
              <c:y val="3.7896501743252244E-2"/>
            </c:manualLayout>
          </c:layout>
        </c:title>
        <c:numFmt formatCode="0" sourceLinked="1"/>
        <c:tickLblPos val="nextTo"/>
        <c:txPr>
          <a:bodyPr/>
          <a:lstStyle/>
          <a:p>
            <a:pPr>
              <a:defRPr sz="900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152167552"/>
        <c:crosses val="autoZero"/>
        <c:crossBetween val="between"/>
      </c:valAx>
      <c:valAx>
        <c:axId val="152187648"/>
        <c:scaling>
          <c:orientation val="minMax"/>
          <c:max val="50"/>
          <c:min val="-30"/>
        </c:scaling>
        <c:axPos val="r"/>
        <c:numFmt formatCode="0.0" sourceLinked="1"/>
        <c:tickLblPos val="nextTo"/>
        <c:txPr>
          <a:bodyPr/>
          <a:lstStyle/>
          <a:p>
            <a:pPr>
              <a:defRPr sz="800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152189184"/>
        <c:crosses val="max"/>
        <c:crossBetween val="between"/>
      </c:valAx>
      <c:catAx>
        <c:axId val="152189184"/>
        <c:scaling>
          <c:orientation val="minMax"/>
        </c:scaling>
        <c:delete val="1"/>
        <c:axPos val="b"/>
        <c:tickLblPos val="nextTo"/>
        <c:crossAx val="152187648"/>
        <c:crosses val="autoZero"/>
        <c:auto val="1"/>
        <c:lblAlgn val="ctr"/>
        <c:lblOffset val="100"/>
      </c:catAx>
    </c:plotArea>
    <c:legend>
      <c:legendPos val="b"/>
      <c:layout>
        <c:manualLayout>
          <c:xMode val="edge"/>
          <c:yMode val="edge"/>
          <c:x val="0.13261488353559772"/>
          <c:y val="0.94729940846946381"/>
          <c:w val="0.76203615637154265"/>
          <c:h val="4.5190739217299332E-2"/>
        </c:manualLayout>
      </c:layout>
      <c:txPr>
        <a:bodyPr/>
        <a:lstStyle/>
        <a:p>
          <a:pPr>
            <a:defRPr sz="900">
              <a:latin typeface="Arial" pitchFamily="34" charset="0"/>
              <a:cs typeface="Arial" pitchFamily="34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5"/>
  <c:chart>
    <c:title>
      <c:tx>
        <c:rich>
          <a:bodyPr/>
          <a:lstStyle/>
          <a:p>
            <a:pPr>
              <a:defRPr sz="1000">
                <a:latin typeface="Arial" pitchFamily="34" charset="0"/>
                <a:cs typeface="Arial" pitchFamily="34" charset="0"/>
              </a:defRPr>
            </a:pPr>
            <a:r>
              <a:rPr lang="ru-RU" sz="1000">
                <a:latin typeface="Arial" pitchFamily="34" charset="0"/>
                <a:cs typeface="Arial" pitchFamily="34" charset="0"/>
              </a:rPr>
              <a:t>Структура предложения коттеджей по направлениям</a:t>
            </a:r>
          </a:p>
          <a:p>
            <a:pPr>
              <a:defRPr sz="1000">
                <a:latin typeface="Arial" pitchFamily="34" charset="0"/>
                <a:cs typeface="Arial" pitchFamily="34" charset="0"/>
              </a:defRPr>
            </a:pPr>
            <a:r>
              <a:rPr lang="ru-RU" sz="1000">
                <a:latin typeface="Arial" pitchFamily="34" charset="0"/>
                <a:cs typeface="Arial" pitchFamily="34" charset="0"/>
              </a:rPr>
              <a:t>
</a:t>
            </a:r>
          </a:p>
        </c:rich>
      </c:tx>
      <c:layout>
        <c:manualLayout>
          <c:xMode val="edge"/>
          <c:yMode val="edge"/>
          <c:x val="0.13388677791422862"/>
          <c:y val="4.1279683180056766E-3"/>
        </c:manualLayout>
      </c:layout>
    </c:title>
    <c:plotArea>
      <c:layout>
        <c:manualLayout>
          <c:layoutTarget val="inner"/>
          <c:xMode val="edge"/>
          <c:yMode val="edge"/>
          <c:x val="0.36086956102964851"/>
          <c:y val="0.28527673964611283"/>
          <c:w val="0.4221656787283613"/>
          <c:h val="0.58524525555801299"/>
        </c:manualLayout>
      </c:layout>
      <c:pieChart>
        <c:varyColors val="1"/>
        <c:ser>
          <c:idx val="0"/>
          <c:order val="0"/>
          <c:dLbls>
            <c:dLbl>
              <c:idx val="0"/>
              <c:layout>
                <c:manualLayout>
                  <c:x val="9.448106142695463E-2"/>
                  <c:y val="3.0149445454586841E-2"/>
                </c:manualLayout>
              </c:layout>
              <c:showCatName val="1"/>
              <c:showPercent val="1"/>
            </c:dLbl>
            <c:dLbl>
              <c:idx val="1"/>
              <c:layout>
                <c:manualLayout>
                  <c:x val="6.862520166630548E-2"/>
                  <c:y val="3.3764505583158411E-2"/>
                </c:manualLayout>
              </c:layout>
              <c:showCatName val="1"/>
              <c:showPercent val="1"/>
            </c:dLbl>
            <c:dLbl>
              <c:idx val="2"/>
              <c:layout>
                <c:manualLayout>
                  <c:x val="-6.2929133858267719E-2"/>
                  <c:y val="-6.1919524770085166E-2"/>
                </c:manualLayout>
              </c:layout>
              <c:showCatName val="1"/>
              <c:showPercent val="1"/>
            </c:dLbl>
            <c:dLbl>
              <c:idx val="3"/>
              <c:layout>
                <c:manualLayout>
                  <c:x val="-0.20811827879313274"/>
                  <c:y val="-2.8225552188895831E-2"/>
                </c:manualLayout>
              </c:layout>
              <c:showCatName val="1"/>
              <c:showPercent val="1"/>
            </c:dLbl>
            <c:dLbl>
              <c:idx val="4"/>
              <c:layout>
                <c:manualLayout>
                  <c:x val="-0.17740944939511946"/>
                  <c:y val="-7.9058719211694724E-3"/>
                </c:manualLayout>
              </c:layout>
              <c:showCatName val="1"/>
              <c:showPercent val="1"/>
            </c:dLbl>
            <c:dLbl>
              <c:idx val="5"/>
              <c:layout>
                <c:manualLayout>
                  <c:x val="-0.17722721700529659"/>
                  <c:y val="-0.13283834551030019"/>
                </c:manualLayout>
              </c:layout>
              <c:showCatName val="1"/>
              <c:showPercent val="1"/>
            </c:dLbl>
            <c:dLbl>
              <c:idx val="6"/>
              <c:layout>
                <c:manualLayout>
                  <c:x val="-0.14860670856509944"/>
                  <c:y val="-0.13917396428624818"/>
                </c:manualLayout>
              </c:layout>
              <c:showCatName val="1"/>
              <c:showPercent val="1"/>
            </c:dLbl>
            <c:dLbl>
              <c:idx val="7"/>
              <c:layout>
                <c:manualLayout>
                  <c:x val="0.10830726159230095"/>
                  <c:y val="-4.7945518438102207E-2"/>
                </c:manualLayout>
              </c:layout>
              <c:showCatName val="1"/>
              <c:showPercent val="1"/>
            </c:dLbl>
            <c:dLbl>
              <c:idx val="8"/>
              <c:layout>
                <c:manualLayout>
                  <c:x val="0.31755835382451597"/>
                  <c:y val="-5.8301864346510133E-3"/>
                </c:manualLayout>
              </c:layout>
              <c:showCatName val="1"/>
              <c:showPercent val="1"/>
            </c:dLbl>
            <c:spPr>
              <a:ln>
                <a:solidFill>
                  <a:schemeClr val="bg1">
                    <a:lumMod val="85000"/>
                  </a:schemeClr>
                </a:solidFill>
              </a:ln>
            </c:spPr>
            <c:txPr>
              <a:bodyPr/>
              <a:lstStyle/>
              <a:p>
                <a:pPr>
                  <a:defRPr sz="900"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  <c:showCatName val="1"/>
            <c:showPercent val="1"/>
            <c:showLeaderLines val="1"/>
          </c:dLbls>
          <c:cat>
            <c:strRef>
              <c:f>дома!$A$3:$A$11</c:f>
              <c:strCache>
                <c:ptCount val="9"/>
                <c:pt idx="0">
                  <c:v>черта г.Тюмень</c:v>
                </c:pt>
                <c:pt idx="1">
                  <c:v>Московский тракт</c:v>
                </c:pt>
                <c:pt idx="2">
                  <c:v>Червишевский тракт</c:v>
                </c:pt>
                <c:pt idx="3">
                  <c:v>Велижанский тракт</c:v>
                </c:pt>
                <c:pt idx="4">
                  <c:v>Салаирский тракт</c:v>
                </c:pt>
                <c:pt idx="5">
                  <c:v>Ялуторовский тракт</c:v>
                </c:pt>
                <c:pt idx="6">
                  <c:v>Ирбитский тракт</c:v>
                </c:pt>
                <c:pt idx="7">
                  <c:v>Тобольский тракт</c:v>
                </c:pt>
                <c:pt idx="8">
                  <c:v>Старый Тобольский тракт</c:v>
                </c:pt>
              </c:strCache>
            </c:strRef>
          </c:cat>
          <c:val>
            <c:numRef>
              <c:f>коттеджи!$B$3:$B$11</c:f>
              <c:numCache>
                <c:formatCode>General</c:formatCode>
                <c:ptCount val="9"/>
                <c:pt idx="0">
                  <c:v>334</c:v>
                </c:pt>
                <c:pt idx="1">
                  <c:v>229</c:v>
                </c:pt>
                <c:pt idx="2">
                  <c:v>163</c:v>
                </c:pt>
                <c:pt idx="3">
                  <c:v>33</c:v>
                </c:pt>
                <c:pt idx="4">
                  <c:v>132</c:v>
                </c:pt>
                <c:pt idx="5">
                  <c:v>108</c:v>
                </c:pt>
                <c:pt idx="6">
                  <c:v>94</c:v>
                </c:pt>
                <c:pt idx="7">
                  <c:v>21</c:v>
                </c:pt>
                <c:pt idx="8">
                  <c:v>34</c:v>
                </c:pt>
              </c:numCache>
            </c:numRef>
          </c:val>
        </c:ser>
        <c:dLbls>
          <c:showCatName val="1"/>
          <c:showPercent val="1"/>
        </c:dLbls>
        <c:firstSliceAng val="0"/>
      </c:pieChart>
    </c:plotArea>
    <c:plotVisOnly val="1"/>
  </c:chart>
  <c:spPr>
    <a:ln>
      <a:noFill/>
    </a:ln>
  </c:spPr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3"/>
  <c:chart>
    <c:title>
      <c:tx>
        <c:rich>
          <a:bodyPr/>
          <a:lstStyle/>
          <a:p>
            <a:pPr>
              <a:defRPr sz="1050">
                <a:latin typeface="Arial" pitchFamily="34" charset="0"/>
                <a:cs typeface="Arial" pitchFamily="34" charset="0"/>
              </a:defRPr>
            </a:pPr>
            <a:r>
              <a:rPr lang="ru-RU" sz="1050">
                <a:latin typeface="Arial" pitchFamily="34" charset="0"/>
                <a:cs typeface="Arial" pitchFamily="34" charset="0"/>
              </a:rPr>
              <a:t>Динамика удельной цены предложения коттеджей, руб./кв.м.</a:t>
            </a:r>
          </a:p>
        </c:rich>
      </c:tx>
      <c:layout>
        <c:manualLayout>
          <c:xMode val="edge"/>
          <c:yMode val="edge"/>
          <c:x val="0.24869094488189053"/>
          <c:y val="1.0399348003259958E-2"/>
        </c:manualLayout>
      </c:layout>
    </c:title>
    <c:plotArea>
      <c:layout>
        <c:manualLayout>
          <c:layoutTarget val="inner"/>
          <c:xMode val="edge"/>
          <c:yMode val="edge"/>
          <c:x val="0.13024722346387924"/>
          <c:y val="0.22685634555903564"/>
          <c:w val="0.86893435195600555"/>
          <c:h val="0.6007922801471377"/>
        </c:manualLayout>
      </c:layout>
      <c:barChart>
        <c:barDir val="col"/>
        <c:grouping val="clustered"/>
        <c:ser>
          <c:idx val="0"/>
          <c:order val="0"/>
          <c:tx>
            <c:strRef>
              <c:f>коттеджи!$A$41</c:f>
              <c:strCache>
                <c:ptCount val="1"/>
                <c:pt idx="0">
                  <c:v>Удельная цена предложения коттеджей</c:v>
                </c:pt>
              </c:strCache>
            </c:strRef>
          </c:tx>
          <c:dLbls>
            <c:dLbl>
              <c:idx val="1"/>
              <c:layout>
                <c:manualLayout>
                  <c:x val="-7.9365079365079413E-3"/>
                  <c:y val="1.2944980520097718E-2"/>
                </c:manualLayout>
              </c:layout>
              <c:showVal val="1"/>
            </c:dLbl>
            <c:dLbl>
              <c:idx val="4"/>
              <c:layout>
                <c:manualLayout>
                  <c:x val="-7.9365079365079413E-3"/>
                  <c:y val="0"/>
                </c:manualLayout>
              </c:layout>
              <c:showVal val="1"/>
            </c:dLbl>
            <c:dLbl>
              <c:idx val="5"/>
              <c:layout>
                <c:manualLayout>
                  <c:x val="-9.9206349206350519E-3"/>
                  <c:y val="3.2362451300244227E-3"/>
                </c:manualLayout>
              </c:layout>
              <c:showVal val="1"/>
            </c:dLbl>
            <c:dLbl>
              <c:idx val="6"/>
              <c:layout>
                <c:manualLayout>
                  <c:x val="-1.984126984127007E-3"/>
                  <c:y val="9.7087353900732892E-3"/>
                </c:manualLayout>
              </c:layout>
              <c:showVal val="1"/>
            </c:dLbl>
            <c:txPr>
              <a:bodyPr rot="0" vert="horz"/>
              <a:lstStyle/>
              <a:p>
                <a:pPr>
                  <a:defRPr sz="900"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  <c:showVal val="1"/>
          </c:dLbls>
          <c:cat>
            <c:strRef>
              <c:f>коттеджи!$C$42:$D$42</c:f>
              <c:strCache>
                <c:ptCount val="2"/>
                <c:pt idx="0">
                  <c:v>3 кв.2014</c:v>
                </c:pt>
                <c:pt idx="1">
                  <c:v>4 кв.2014</c:v>
                </c:pt>
              </c:strCache>
            </c:strRef>
          </c:cat>
          <c:val>
            <c:numRef>
              <c:f>коттеджи!$C$43:$D$43</c:f>
              <c:numCache>
                <c:formatCode>General</c:formatCode>
                <c:ptCount val="2"/>
                <c:pt idx="0">
                  <c:v>42064</c:v>
                </c:pt>
                <c:pt idx="1">
                  <c:v>41919</c:v>
                </c:pt>
              </c:numCache>
            </c:numRef>
          </c:val>
        </c:ser>
        <c:gapWidth val="269"/>
        <c:overlap val="-4"/>
        <c:axId val="152326528"/>
        <c:axId val="152328064"/>
      </c:barChart>
      <c:catAx>
        <c:axId val="152326528"/>
        <c:scaling>
          <c:orientation val="minMax"/>
        </c:scaling>
        <c:axPos val="b"/>
        <c:majorTickMark val="none"/>
        <c:tickLblPos val="nextTo"/>
        <c:txPr>
          <a:bodyPr rot="0" vert="horz"/>
          <a:lstStyle/>
          <a:p>
            <a:pPr>
              <a:defRPr sz="800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152328064"/>
        <c:crosses val="autoZero"/>
        <c:auto val="1"/>
        <c:lblAlgn val="ctr"/>
        <c:lblOffset val="100"/>
      </c:catAx>
      <c:valAx>
        <c:axId val="152328064"/>
        <c:scaling>
          <c:orientation val="minMax"/>
          <c:max val="70000"/>
          <c:min val="0"/>
        </c:scaling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руб./кв.м.</a:t>
                </a:r>
              </a:p>
            </c:rich>
          </c:tx>
          <c:layout>
            <c:manualLayout>
              <c:xMode val="edge"/>
              <c:yMode val="edge"/>
              <c:x val="4.7565015071805982E-4"/>
              <c:y val="0.1060800671291553"/>
            </c:manualLayout>
          </c:layout>
        </c:title>
        <c:numFmt formatCode="General" sourceLinked="1"/>
        <c:tickLblPos val="nextTo"/>
        <c:txPr>
          <a:bodyPr/>
          <a:lstStyle/>
          <a:p>
            <a:pPr>
              <a:defRPr sz="900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152326528"/>
        <c:crosses val="autoZero"/>
        <c:crossBetween val="between"/>
      </c:valAx>
    </c:plotArea>
    <c:plotVisOnly val="1"/>
    <c:dispBlanksAs val="gap"/>
  </c:chart>
  <c:spPr>
    <a:ln>
      <a:noFill/>
    </a:ln>
  </c:spPr>
  <c:externalData r:id="rId1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3"/>
  <c:chart>
    <c:title>
      <c:tx>
        <c:rich>
          <a:bodyPr/>
          <a:lstStyle/>
          <a:p>
            <a:pPr>
              <a:defRPr sz="1050">
                <a:latin typeface="Arial" pitchFamily="34" charset="0"/>
                <a:cs typeface="Arial" pitchFamily="34" charset="0"/>
              </a:defRPr>
            </a:pPr>
            <a:r>
              <a:rPr lang="ru-RU" sz="1050">
                <a:latin typeface="Arial" pitchFamily="34" charset="0"/>
                <a:cs typeface="Arial" pitchFamily="34" charset="0"/>
              </a:rPr>
              <a:t>Динамика средней цены коттеджей в разрезе по трактам, тыс.руб.</a:t>
            </a:r>
          </a:p>
        </c:rich>
      </c:tx>
      <c:layout>
        <c:manualLayout>
          <c:xMode val="edge"/>
          <c:yMode val="edge"/>
          <c:x val="0.12964332583427071"/>
          <c:y val="1.039930423277929E-2"/>
        </c:manualLayout>
      </c:layout>
    </c:title>
    <c:plotArea>
      <c:layout>
        <c:manualLayout>
          <c:layoutTarget val="inner"/>
          <c:xMode val="edge"/>
          <c:yMode val="edge"/>
          <c:x val="6.8918572678415196E-2"/>
          <c:y val="0.10789743192481922"/>
          <c:w val="0.86893435195600555"/>
          <c:h val="0.54388958482462357"/>
        </c:manualLayout>
      </c:layout>
      <c:barChart>
        <c:barDir val="col"/>
        <c:grouping val="clustered"/>
        <c:ser>
          <c:idx val="0"/>
          <c:order val="0"/>
          <c:tx>
            <c:strRef>
              <c:f>коттеджи!$D$23</c:f>
              <c:strCache>
                <c:ptCount val="1"/>
                <c:pt idx="0">
                  <c:v>3 кв.2014</c:v>
                </c:pt>
              </c:strCache>
            </c:strRef>
          </c:tx>
          <c:dLbls>
            <c:dLbl>
              <c:idx val="1"/>
              <c:layout>
                <c:manualLayout>
                  <c:x val="-7.9365079365079413E-3"/>
                  <c:y val="1.2944980520097718E-2"/>
                </c:manualLayout>
              </c:layout>
              <c:showVal val="1"/>
            </c:dLbl>
            <c:dLbl>
              <c:idx val="3"/>
              <c:layout>
                <c:manualLayout>
                  <c:x val="0"/>
                  <c:y val="1.9417470780146585E-2"/>
                </c:manualLayout>
              </c:layout>
              <c:showVal val="1"/>
            </c:dLbl>
            <c:dLbl>
              <c:idx val="4"/>
              <c:layout>
                <c:manualLayout>
                  <c:x val="-7.9365079365079413E-3"/>
                  <c:y val="0"/>
                </c:manualLayout>
              </c:layout>
              <c:showVal val="1"/>
            </c:dLbl>
            <c:dLbl>
              <c:idx val="5"/>
              <c:layout>
                <c:manualLayout>
                  <c:x val="-9.9206349206350346E-3"/>
                  <c:y val="3.2362451300244227E-3"/>
                </c:manualLayout>
              </c:layout>
              <c:showVal val="1"/>
            </c:dLbl>
            <c:dLbl>
              <c:idx val="6"/>
              <c:layout>
                <c:manualLayout>
                  <c:x val="-1.9841269841270044E-3"/>
                  <c:y val="9.7087353900732892E-3"/>
                </c:manualLayout>
              </c:layout>
              <c:showVal val="1"/>
            </c:dLbl>
            <c:dLbl>
              <c:idx val="7"/>
              <c:layout>
                <c:manualLayout>
                  <c:x val="-1.1904761904761921E-2"/>
                  <c:y val="2.2653715910171318E-2"/>
                </c:manualLayout>
              </c:layout>
              <c:showVal val="1"/>
            </c:dLbl>
            <c:txPr>
              <a:bodyPr rot="0" vert="horz"/>
              <a:lstStyle/>
              <a:p>
                <a:pPr>
                  <a:defRPr sz="900"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  <c:showVal val="1"/>
          </c:dLbls>
          <c:cat>
            <c:strRef>
              <c:f>коттеджи!$A$24:$A$32</c:f>
              <c:strCache>
                <c:ptCount val="9"/>
                <c:pt idx="0">
                  <c:v>черта г.Тюмень</c:v>
                </c:pt>
                <c:pt idx="1">
                  <c:v>Червишевский тракт</c:v>
                </c:pt>
                <c:pt idx="2">
                  <c:v>Московский тракт</c:v>
                </c:pt>
                <c:pt idx="3">
                  <c:v>Ялуторовский тракт</c:v>
                </c:pt>
                <c:pt idx="4">
                  <c:v>Салаирский тракт</c:v>
                </c:pt>
                <c:pt idx="5">
                  <c:v>Ирбитский тракт</c:v>
                </c:pt>
                <c:pt idx="6">
                  <c:v>Тобольский тракт</c:v>
                </c:pt>
                <c:pt idx="7">
                  <c:v>Старый Тобольский тракт</c:v>
                </c:pt>
                <c:pt idx="8">
                  <c:v>Велижанский тракт</c:v>
                </c:pt>
              </c:strCache>
            </c:strRef>
          </c:cat>
          <c:val>
            <c:numRef>
              <c:f>коттеджи!$D$24:$D$32</c:f>
              <c:numCache>
                <c:formatCode>0</c:formatCode>
                <c:ptCount val="9"/>
                <c:pt idx="0">
                  <c:v>13812.591463414634</c:v>
                </c:pt>
                <c:pt idx="1">
                  <c:v>12667.232704402517</c:v>
                </c:pt>
                <c:pt idx="2">
                  <c:v>10671.724890829697</c:v>
                </c:pt>
                <c:pt idx="3">
                  <c:v>10063.647540983606</c:v>
                </c:pt>
                <c:pt idx="4">
                  <c:v>8965.0065789473665</c:v>
                </c:pt>
                <c:pt idx="5">
                  <c:v>8077.0731707317073</c:v>
                </c:pt>
                <c:pt idx="6">
                  <c:v>7532.6315789473683</c:v>
                </c:pt>
                <c:pt idx="7">
                  <c:v>6576.6666666666697</c:v>
                </c:pt>
                <c:pt idx="8">
                  <c:v>5592.4324324324325</c:v>
                </c:pt>
              </c:numCache>
            </c:numRef>
          </c:val>
        </c:ser>
        <c:ser>
          <c:idx val="1"/>
          <c:order val="1"/>
          <c:tx>
            <c:strRef>
              <c:f>коттеджи!$E$23</c:f>
              <c:strCache>
                <c:ptCount val="1"/>
                <c:pt idx="0">
                  <c:v>4 кв.2014</c:v>
                </c:pt>
              </c:strCache>
            </c:strRef>
          </c:tx>
          <c:dLbls>
            <c:dLbl>
              <c:idx val="0"/>
              <c:layout>
                <c:manualLayout>
                  <c:x val="2.9761904761904791E-2"/>
                  <c:y val="0"/>
                </c:manualLayout>
              </c:layout>
              <c:showVal val="1"/>
            </c:dLbl>
            <c:dLbl>
              <c:idx val="1"/>
              <c:layout>
                <c:manualLayout>
                  <c:x val="1.7284626306957537E-2"/>
                  <c:y val="-1.6181060434538336E-2"/>
                </c:manualLayout>
              </c:layout>
              <c:showVal val="1"/>
            </c:dLbl>
            <c:dLbl>
              <c:idx val="2"/>
              <c:layout>
                <c:manualLayout>
                  <c:x val="2.3809523809523846E-2"/>
                  <c:y val="9.7087353900732892E-3"/>
                </c:manualLayout>
              </c:layout>
              <c:showVal val="1"/>
            </c:dLbl>
            <c:dLbl>
              <c:idx val="3"/>
              <c:layout>
                <c:manualLayout>
                  <c:x val="9.9206349206350034E-3"/>
                  <c:y val="-1.2945235342548905E-2"/>
                </c:manualLayout>
              </c:layout>
              <c:showVal val="1"/>
            </c:dLbl>
            <c:dLbl>
              <c:idx val="4"/>
              <c:layout>
                <c:manualLayout>
                  <c:x val="7.9365079365079413E-3"/>
                  <c:y val="0"/>
                </c:manualLayout>
              </c:layout>
              <c:showVal val="1"/>
            </c:dLbl>
            <c:dLbl>
              <c:idx val="5"/>
              <c:layout>
                <c:manualLayout>
                  <c:x val="1.3888888888888935E-2"/>
                  <c:y val="0"/>
                </c:manualLayout>
              </c:layout>
              <c:showVal val="1"/>
            </c:dLbl>
            <c:dLbl>
              <c:idx val="6"/>
              <c:layout>
                <c:manualLayout>
                  <c:x val="1.7857142857142856E-2"/>
                  <c:y val="0"/>
                </c:manualLayout>
              </c:layout>
              <c:showVal val="1"/>
            </c:dLbl>
            <c:dLbl>
              <c:idx val="7"/>
              <c:layout>
                <c:manualLayout>
                  <c:x val="3.9682539682539802E-3"/>
                  <c:y val="6.4724902600488904E-3"/>
                </c:manualLayout>
              </c:layout>
              <c:showVal val="1"/>
            </c:dLbl>
            <c:dLbl>
              <c:idx val="8"/>
              <c:layout>
                <c:manualLayout>
                  <c:x val="9.9206349206350346E-3"/>
                  <c:y val="-2.966523766320168E-17"/>
                </c:manualLayout>
              </c:layout>
              <c:showVal val="1"/>
            </c:dLbl>
            <c:txPr>
              <a:bodyPr/>
              <a:lstStyle/>
              <a:p>
                <a:pPr>
                  <a:defRPr sz="900"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  <c:showVal val="1"/>
          </c:dLbls>
          <c:cat>
            <c:strRef>
              <c:f>коттеджи!$A$24:$A$32</c:f>
              <c:strCache>
                <c:ptCount val="9"/>
                <c:pt idx="0">
                  <c:v>черта г.Тюмень</c:v>
                </c:pt>
                <c:pt idx="1">
                  <c:v>Червишевский тракт</c:v>
                </c:pt>
                <c:pt idx="2">
                  <c:v>Московский тракт</c:v>
                </c:pt>
                <c:pt idx="3">
                  <c:v>Ялуторовский тракт</c:v>
                </c:pt>
                <c:pt idx="4">
                  <c:v>Салаирский тракт</c:v>
                </c:pt>
                <c:pt idx="5">
                  <c:v>Ирбитский тракт</c:v>
                </c:pt>
                <c:pt idx="6">
                  <c:v>Тобольский тракт</c:v>
                </c:pt>
                <c:pt idx="7">
                  <c:v>Старый Тобольский тракт</c:v>
                </c:pt>
                <c:pt idx="8">
                  <c:v>Велижанский тракт</c:v>
                </c:pt>
              </c:strCache>
            </c:strRef>
          </c:cat>
          <c:val>
            <c:numRef>
              <c:f>коттеджи!$E$24:$E$32</c:f>
              <c:numCache>
                <c:formatCode>0</c:formatCode>
                <c:ptCount val="9"/>
                <c:pt idx="0">
                  <c:v>13426</c:v>
                </c:pt>
                <c:pt idx="1">
                  <c:v>12339</c:v>
                </c:pt>
                <c:pt idx="2">
                  <c:v>10623</c:v>
                </c:pt>
                <c:pt idx="3">
                  <c:v>9860</c:v>
                </c:pt>
                <c:pt idx="4">
                  <c:v>8791</c:v>
                </c:pt>
                <c:pt idx="5">
                  <c:v>8117</c:v>
                </c:pt>
                <c:pt idx="6">
                  <c:v>7878</c:v>
                </c:pt>
                <c:pt idx="7">
                  <c:v>6675</c:v>
                </c:pt>
                <c:pt idx="8">
                  <c:v>5137</c:v>
                </c:pt>
              </c:numCache>
            </c:numRef>
          </c:val>
        </c:ser>
        <c:overlap val="-16"/>
        <c:axId val="152389120"/>
        <c:axId val="152390656"/>
      </c:barChart>
      <c:lineChart>
        <c:grouping val="standard"/>
        <c:ser>
          <c:idx val="2"/>
          <c:order val="2"/>
          <c:tx>
            <c:strRef>
              <c:f>коттеджи!$F$23</c:f>
              <c:strCache>
                <c:ptCount val="1"/>
                <c:pt idx="0">
                  <c:v>Темп прироста, %</c:v>
                </c:pt>
              </c:strCache>
            </c:strRef>
          </c:tx>
          <c:spPr>
            <a:ln w="22225">
              <a:prstDash val="dashDot"/>
            </a:ln>
          </c:spPr>
          <c:marker>
            <c:symbol val="circle"/>
            <c:size val="7"/>
            <c:spPr>
              <a:solidFill>
                <a:schemeClr val="accent3">
                  <a:lumMod val="60000"/>
                  <a:lumOff val="40000"/>
                </a:schemeClr>
              </a:solidFill>
            </c:spPr>
          </c:marker>
          <c:dLbls>
            <c:dLbl>
              <c:idx val="7"/>
              <c:layout>
                <c:manualLayout>
                  <c:x val="0"/>
                  <c:y val="-7.4433637990562615E-2"/>
                </c:manualLayout>
              </c:layout>
              <c:dLblPos val="b"/>
              <c:showVal val="1"/>
            </c:dLbl>
            <c:txPr>
              <a:bodyPr/>
              <a:lstStyle/>
              <a:p>
                <a:pPr>
                  <a:defRPr sz="800"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  <c:dLblPos val="b"/>
            <c:showVal val="1"/>
          </c:dLbls>
          <c:cat>
            <c:strRef>
              <c:f>дома!$A$24:$A$32</c:f>
              <c:strCache>
                <c:ptCount val="9"/>
                <c:pt idx="0">
                  <c:v>черта г.Тюмень</c:v>
                </c:pt>
                <c:pt idx="1">
                  <c:v>Ирбитский тракт</c:v>
                </c:pt>
                <c:pt idx="2">
                  <c:v>Салаирский тракт</c:v>
                </c:pt>
                <c:pt idx="3">
                  <c:v>Московский тракт</c:v>
                </c:pt>
                <c:pt idx="4">
                  <c:v>Старый Тобольский тракт</c:v>
                </c:pt>
                <c:pt idx="5">
                  <c:v>Ялуторовский тракт</c:v>
                </c:pt>
                <c:pt idx="6">
                  <c:v>Тобольский тракт</c:v>
                </c:pt>
                <c:pt idx="7">
                  <c:v>Червишевский тракт</c:v>
                </c:pt>
                <c:pt idx="8">
                  <c:v>Велижанский тракт</c:v>
                </c:pt>
              </c:strCache>
            </c:strRef>
          </c:cat>
          <c:val>
            <c:numRef>
              <c:f>коттеджи!$F$24:$F$32</c:f>
              <c:numCache>
                <c:formatCode>0.0</c:formatCode>
                <c:ptCount val="9"/>
                <c:pt idx="0">
                  <c:v>-2.7988336905395101</c:v>
                </c:pt>
                <c:pt idx="1">
                  <c:v>-2.5911950310065488</c:v>
                </c:pt>
                <c:pt idx="2">
                  <c:v>-0.4565793377185372</c:v>
                </c:pt>
                <c:pt idx="3">
                  <c:v>-2.0235957206794386</c:v>
                </c:pt>
                <c:pt idx="4">
                  <c:v>-1.9409531651208172</c:v>
                </c:pt>
                <c:pt idx="5">
                  <c:v>0.49432298586786794</c:v>
                </c:pt>
                <c:pt idx="6">
                  <c:v>4.5849636668529845</c:v>
                </c:pt>
                <c:pt idx="7">
                  <c:v>1.4951849974657987</c:v>
                </c:pt>
                <c:pt idx="8">
                  <c:v>-8.1437270442683172</c:v>
                </c:pt>
              </c:numCache>
            </c:numRef>
          </c:val>
          <c:smooth val="1"/>
        </c:ser>
        <c:marker val="1"/>
        <c:axId val="152414848"/>
        <c:axId val="152413312"/>
      </c:lineChart>
      <c:catAx>
        <c:axId val="152389120"/>
        <c:scaling>
          <c:orientation val="minMax"/>
        </c:scaling>
        <c:axPos val="b"/>
        <c:majorTickMark val="none"/>
        <c:tickLblPos val="nextTo"/>
        <c:txPr>
          <a:bodyPr rot="-2040000" vert="horz"/>
          <a:lstStyle/>
          <a:p>
            <a:pPr>
              <a:defRPr sz="800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152390656"/>
        <c:crosses val="autoZero"/>
        <c:auto val="1"/>
        <c:lblAlgn val="ctr"/>
        <c:lblOffset val="100"/>
      </c:catAx>
      <c:valAx>
        <c:axId val="152390656"/>
        <c:scaling>
          <c:orientation val="minMax"/>
          <c:max val="15500"/>
          <c:min val="0"/>
        </c:scaling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тыс.руб.</a:t>
                </a:r>
              </a:p>
            </c:rich>
          </c:tx>
          <c:layout>
            <c:manualLayout>
              <c:xMode val="edge"/>
              <c:yMode val="edge"/>
              <c:x val="4.7572178477690293E-4"/>
              <c:y val="4.6600400937644733E-2"/>
            </c:manualLayout>
          </c:layout>
        </c:title>
        <c:numFmt formatCode="0" sourceLinked="1"/>
        <c:tickLblPos val="nextTo"/>
        <c:txPr>
          <a:bodyPr/>
          <a:lstStyle/>
          <a:p>
            <a:pPr>
              <a:defRPr sz="900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152389120"/>
        <c:crosses val="autoZero"/>
        <c:crossBetween val="between"/>
      </c:valAx>
      <c:valAx>
        <c:axId val="152413312"/>
        <c:scaling>
          <c:orientation val="minMax"/>
          <c:max val="30"/>
          <c:min val="-30"/>
        </c:scaling>
        <c:axPos val="r"/>
        <c:numFmt formatCode="0.0" sourceLinked="1"/>
        <c:tickLblPos val="nextTo"/>
        <c:txPr>
          <a:bodyPr/>
          <a:lstStyle/>
          <a:p>
            <a:pPr>
              <a:defRPr sz="800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152414848"/>
        <c:crosses val="max"/>
        <c:crossBetween val="between"/>
      </c:valAx>
      <c:catAx>
        <c:axId val="152414848"/>
        <c:scaling>
          <c:orientation val="minMax"/>
        </c:scaling>
        <c:delete val="1"/>
        <c:axPos val="b"/>
        <c:tickLblPos val="nextTo"/>
        <c:crossAx val="152413312"/>
        <c:crosses val="autoZero"/>
        <c:auto val="1"/>
        <c:lblAlgn val="ctr"/>
        <c:lblOffset val="100"/>
      </c:catAx>
    </c:plotArea>
    <c:legend>
      <c:legendPos val="b"/>
      <c:layout>
        <c:manualLayout>
          <c:xMode val="edge"/>
          <c:yMode val="edge"/>
          <c:x val="0.10492095865066046"/>
          <c:y val="0.92842008167509427"/>
          <c:w val="0.84835695538057754"/>
          <c:h val="5.5688661920454838E-2"/>
        </c:manualLayout>
      </c:layout>
      <c:txPr>
        <a:bodyPr/>
        <a:lstStyle/>
        <a:p>
          <a:pPr>
            <a:defRPr sz="900">
              <a:latin typeface="Arial" pitchFamily="34" charset="0"/>
              <a:cs typeface="Arial" pitchFamily="34" charset="0"/>
            </a:defRPr>
          </a:pPr>
          <a:endParaRPr lang="ru-RU"/>
        </a:p>
      </c:txPr>
    </c:legend>
    <c:plotVisOnly val="1"/>
    <c:dispBlanksAs val="gap"/>
  </c:chart>
  <c:spPr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3"/>
  <c:chart>
    <c:title>
      <c:tx>
        <c:rich>
          <a:bodyPr/>
          <a:lstStyle/>
          <a:p>
            <a:pPr>
              <a:defRPr sz="1050">
                <a:latin typeface="Arial" pitchFamily="34" charset="0"/>
                <a:cs typeface="Arial" pitchFamily="34" charset="0"/>
              </a:defRPr>
            </a:pPr>
            <a:r>
              <a:rPr lang="ru-RU" sz="1050">
                <a:latin typeface="Arial" pitchFamily="34" charset="0"/>
                <a:cs typeface="Arial" pitchFamily="34" charset="0"/>
              </a:rPr>
              <a:t>Объем предложения  (к янв.2013г.), %</a:t>
            </a:r>
          </a:p>
        </c:rich>
      </c:tx>
      <c:layout>
        <c:manualLayout>
          <c:xMode val="edge"/>
          <c:yMode val="edge"/>
          <c:x val="0.30384830120759426"/>
          <c:y val="6.4891178358491321E-3"/>
        </c:manualLayout>
      </c:layout>
    </c:title>
    <c:plotArea>
      <c:layout>
        <c:manualLayout>
          <c:layoutTarget val="inner"/>
          <c:xMode val="edge"/>
          <c:yMode val="edge"/>
          <c:x val="8.3277310924369768E-2"/>
          <c:y val="0.10789754728934746"/>
          <c:w val="0.88990089554419305"/>
          <c:h val="0.72872577147050577"/>
        </c:manualLayout>
      </c:layout>
      <c:lineChart>
        <c:grouping val="standard"/>
        <c:ser>
          <c:idx val="0"/>
          <c:order val="0"/>
          <c:tx>
            <c:strRef>
              <c:f>'объем предложения'!$A$3</c:f>
              <c:strCache>
                <c:ptCount val="1"/>
                <c:pt idx="0">
                  <c:v>Объем предложения</c:v>
                </c:pt>
              </c:strCache>
            </c:strRef>
          </c:tx>
          <c:spPr>
            <a:ln w="19050">
              <a:prstDash val="sysDash"/>
            </a:ln>
          </c:spPr>
          <c:marker>
            <c:symbol val="circle"/>
            <c:size val="6"/>
          </c:marker>
          <c:cat>
            <c:strRef>
              <c:f>'объем предложения'!$E$2:$L$2</c:f>
              <c:strCache>
                <c:ptCount val="8"/>
                <c:pt idx="0">
                  <c:v>1 кв.2013</c:v>
                </c:pt>
                <c:pt idx="1">
                  <c:v>2 кв.2013</c:v>
                </c:pt>
                <c:pt idx="2">
                  <c:v>3 кв. 2013</c:v>
                </c:pt>
                <c:pt idx="3">
                  <c:v>4 кв.2013</c:v>
                </c:pt>
                <c:pt idx="4">
                  <c:v>1 кв.2014</c:v>
                </c:pt>
                <c:pt idx="5">
                  <c:v>2 кв.2014</c:v>
                </c:pt>
                <c:pt idx="6">
                  <c:v>3 кв.2014</c:v>
                </c:pt>
                <c:pt idx="7">
                  <c:v>4 кв.2014</c:v>
                </c:pt>
              </c:strCache>
            </c:strRef>
          </c:cat>
          <c:val>
            <c:numRef>
              <c:f>'объем предложения'!$E$4:$L$4</c:f>
              <c:numCache>
                <c:formatCode>0</c:formatCode>
                <c:ptCount val="8"/>
                <c:pt idx="0">
                  <c:v>100</c:v>
                </c:pt>
                <c:pt idx="1">
                  <c:v>116.9741148467718</c:v>
                </c:pt>
                <c:pt idx="2">
                  <c:v>130.80928295150252</c:v>
                </c:pt>
                <c:pt idx="3">
                  <c:v>131.74650401666167</c:v>
                </c:pt>
                <c:pt idx="4">
                  <c:v>143.39482296935435</c:v>
                </c:pt>
                <c:pt idx="5">
                  <c:v>166.02201725676881</c:v>
                </c:pt>
                <c:pt idx="6">
                  <c:v>175.87027670336207</c:v>
                </c:pt>
                <c:pt idx="7">
                  <c:v>167.73281761380539</c:v>
                </c:pt>
              </c:numCache>
            </c:numRef>
          </c:val>
          <c:smooth val="1"/>
        </c:ser>
        <c:marker val="1"/>
        <c:axId val="114676096"/>
        <c:axId val="114678400"/>
      </c:lineChart>
      <c:catAx>
        <c:axId val="114676096"/>
        <c:scaling>
          <c:orientation val="minMax"/>
        </c:scaling>
        <c:axPos val="b"/>
        <c:numFmt formatCode="mmm/yy" sourceLinked="1"/>
        <c:majorTickMark val="none"/>
        <c:tickLblPos val="nextTo"/>
        <c:txPr>
          <a:bodyPr rot="0" vert="horz"/>
          <a:lstStyle/>
          <a:p>
            <a:pPr>
              <a:defRPr sz="900" b="1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114678400"/>
        <c:crosses val="autoZero"/>
        <c:auto val="1"/>
        <c:lblAlgn val="ctr"/>
        <c:lblOffset val="100"/>
      </c:catAx>
      <c:valAx>
        <c:axId val="114678400"/>
        <c:scaling>
          <c:orientation val="minMax"/>
          <c:max val="210"/>
          <c:min val="0"/>
        </c:scaling>
        <c:axPos val="l"/>
        <c:majorGridlines/>
        <c:numFmt formatCode="0" sourceLinked="1"/>
        <c:tickLblPos val="nextTo"/>
        <c:txPr>
          <a:bodyPr/>
          <a:lstStyle/>
          <a:p>
            <a:pPr>
              <a:defRPr sz="900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114676096"/>
        <c:crosses val="autoZero"/>
        <c:crossBetween val="between"/>
      </c:valAx>
    </c:plotArea>
    <c:plotVisOnly val="1"/>
    <c:dispBlanksAs val="gap"/>
  </c:chart>
  <c:spPr>
    <a:ln>
      <a:noFill/>
    </a:ln>
  </c:spPr>
  <c:externalData r:id="rId1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5"/>
  <c:chart>
    <c:title>
      <c:tx>
        <c:rich>
          <a:bodyPr/>
          <a:lstStyle/>
          <a:p>
            <a:pPr>
              <a:defRPr sz="1000">
                <a:latin typeface="Arial" pitchFamily="34" charset="0"/>
                <a:cs typeface="Arial" pitchFamily="34" charset="0"/>
              </a:defRPr>
            </a:pPr>
            <a:r>
              <a:rPr lang="ru-RU" sz="1000">
                <a:latin typeface="Arial" pitchFamily="34" charset="0"/>
                <a:cs typeface="Arial" pitchFamily="34" charset="0"/>
              </a:rPr>
              <a:t>Структура предложения таунхаусов по направлениям</a:t>
            </a:r>
          </a:p>
          <a:p>
            <a:pPr>
              <a:defRPr sz="1000">
                <a:latin typeface="Arial" pitchFamily="34" charset="0"/>
                <a:cs typeface="Arial" pitchFamily="34" charset="0"/>
              </a:defRPr>
            </a:pPr>
            <a:r>
              <a:rPr lang="ru-RU" sz="1000">
                <a:latin typeface="Arial" pitchFamily="34" charset="0"/>
                <a:cs typeface="Arial" pitchFamily="34" charset="0"/>
              </a:rPr>
              <a:t>
</a:t>
            </a:r>
          </a:p>
        </c:rich>
      </c:tx>
      <c:layout>
        <c:manualLayout>
          <c:xMode val="edge"/>
          <c:yMode val="edge"/>
          <c:x val="8.7403613388880669E-2"/>
          <c:y val="2.4767809908034066E-2"/>
        </c:manualLayout>
      </c:layout>
    </c:title>
    <c:plotArea>
      <c:layout>
        <c:manualLayout>
          <c:layoutTarget val="inner"/>
          <c:xMode val="edge"/>
          <c:yMode val="edge"/>
          <c:x val="0.32810564941518233"/>
          <c:y val="0.36783614548181481"/>
          <c:w val="0.4221656787283613"/>
          <c:h val="0.58524525555801277"/>
        </c:manualLayout>
      </c:layout>
      <c:pieChart>
        <c:varyColors val="1"/>
        <c:ser>
          <c:idx val="0"/>
          <c:order val="0"/>
          <c:dLbls>
            <c:dLbl>
              <c:idx val="0"/>
              <c:layout>
                <c:manualLayout>
                  <c:x val="9.448106142695463E-2"/>
                  <c:y val="3.0149445454586841E-2"/>
                </c:manualLayout>
              </c:layout>
              <c:showCatName val="1"/>
              <c:showPercent val="1"/>
            </c:dLbl>
            <c:dLbl>
              <c:idx val="1"/>
              <c:layout>
                <c:manualLayout>
                  <c:x val="-2.1894868646006406E-2"/>
                  <c:y val="-1.1643145914904061E-2"/>
                </c:manualLayout>
              </c:layout>
              <c:showCatName val="1"/>
              <c:showPercent val="1"/>
            </c:dLbl>
            <c:dLbl>
              <c:idx val="2"/>
              <c:layout>
                <c:manualLayout>
                  <c:x val="-0.11430527036276524"/>
                  <c:y val="0.1957504111986002"/>
                </c:manualLayout>
              </c:layout>
              <c:showCatName val="1"/>
              <c:showPercent val="1"/>
            </c:dLbl>
            <c:dLbl>
              <c:idx val="3"/>
              <c:layout>
                <c:manualLayout>
                  <c:x val="-0.1518491810700279"/>
                  <c:y val="0.15141431321084894"/>
                </c:manualLayout>
              </c:layout>
              <c:showCatName val="1"/>
              <c:showPercent val="1"/>
            </c:dLbl>
            <c:dLbl>
              <c:idx val="4"/>
              <c:layout>
                <c:manualLayout>
                  <c:x val="-0.17740944939511938"/>
                  <c:y val="-7.9058719211694724E-3"/>
                </c:manualLayout>
              </c:layout>
              <c:showCatName val="1"/>
              <c:showPercent val="1"/>
            </c:dLbl>
            <c:dLbl>
              <c:idx val="5"/>
              <c:layout>
                <c:manualLayout>
                  <c:x val="-0.17722721700529653"/>
                  <c:y val="-0.13283834551030008"/>
                </c:manualLayout>
              </c:layout>
              <c:showCatName val="1"/>
              <c:showPercent val="1"/>
            </c:dLbl>
            <c:dLbl>
              <c:idx val="6"/>
              <c:layout>
                <c:manualLayout>
                  <c:x val="5.5217318018733934E-3"/>
                  <c:y val="-0.18870958410231858"/>
                </c:manualLayout>
              </c:layout>
              <c:showCatName val="1"/>
              <c:showPercent val="1"/>
            </c:dLbl>
            <c:dLbl>
              <c:idx val="7"/>
              <c:layout>
                <c:manualLayout>
                  <c:x val="0.12862481639336368"/>
                  <c:y val="-0.10110174499297016"/>
                </c:manualLayout>
              </c:layout>
              <c:showCatName val="1"/>
              <c:showPercent val="1"/>
            </c:dLbl>
            <c:dLbl>
              <c:idx val="8"/>
              <c:layout>
                <c:manualLayout>
                  <c:x val="0.31755835382451586"/>
                  <c:y val="-5.8301864346510133E-3"/>
                </c:manualLayout>
              </c:layout>
              <c:showCatName val="1"/>
              <c:showPercent val="1"/>
            </c:dLbl>
            <c:spPr>
              <a:ln>
                <a:solidFill>
                  <a:sysClr val="window" lastClr="FFFFFF">
                    <a:lumMod val="85000"/>
                  </a:sysClr>
                </a:solidFill>
              </a:ln>
            </c:spPr>
            <c:txPr>
              <a:bodyPr/>
              <a:lstStyle/>
              <a:p>
                <a:pPr>
                  <a:defRPr sz="900"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  <c:showCatName val="1"/>
            <c:showPercent val="1"/>
            <c:showLeaderLines val="1"/>
          </c:dLbls>
          <c:cat>
            <c:strRef>
              <c:f>дома!$A$3:$A$11</c:f>
              <c:strCache>
                <c:ptCount val="9"/>
                <c:pt idx="0">
                  <c:v>черта г.Тюмень</c:v>
                </c:pt>
                <c:pt idx="1">
                  <c:v>Московский тракт</c:v>
                </c:pt>
                <c:pt idx="2">
                  <c:v>Червишевский тракт</c:v>
                </c:pt>
                <c:pt idx="3">
                  <c:v>Велижанский тракт</c:v>
                </c:pt>
                <c:pt idx="4">
                  <c:v>Салаирский тракт</c:v>
                </c:pt>
                <c:pt idx="5">
                  <c:v>Ялуторовский тракт</c:v>
                </c:pt>
                <c:pt idx="6">
                  <c:v>Ирбитский тракт</c:v>
                </c:pt>
                <c:pt idx="7">
                  <c:v>Тобольский тракт</c:v>
                </c:pt>
                <c:pt idx="8">
                  <c:v>Старый Тобольский тракт</c:v>
                </c:pt>
              </c:strCache>
            </c:strRef>
          </c:cat>
          <c:val>
            <c:numRef>
              <c:f>таунхаусы!$B$3:$B$11</c:f>
              <c:numCache>
                <c:formatCode>General</c:formatCode>
                <c:ptCount val="9"/>
                <c:pt idx="0">
                  <c:v>61</c:v>
                </c:pt>
                <c:pt idx="1">
                  <c:v>28</c:v>
                </c:pt>
                <c:pt idx="2">
                  <c:v>10</c:v>
                </c:pt>
                <c:pt idx="3">
                  <c:v>5</c:v>
                </c:pt>
                <c:pt idx="4">
                  <c:v>1</c:v>
                </c:pt>
                <c:pt idx="5">
                  <c:v>3</c:v>
                </c:pt>
                <c:pt idx="6">
                  <c:v>5</c:v>
                </c:pt>
                <c:pt idx="7">
                  <c:v>5</c:v>
                </c:pt>
                <c:pt idx="8">
                  <c:v>1</c:v>
                </c:pt>
              </c:numCache>
            </c:numRef>
          </c:val>
        </c:ser>
        <c:dLbls>
          <c:showCatName val="1"/>
          <c:showPercent val="1"/>
        </c:dLbls>
        <c:firstSliceAng val="0"/>
      </c:pieChart>
    </c:plotArea>
    <c:plotVisOnly val="1"/>
  </c:chart>
  <c:spPr>
    <a:ln>
      <a:noFill/>
    </a:ln>
  </c:spPr>
  <c:externalData r:id="rId1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3"/>
  <c:chart>
    <c:title>
      <c:tx>
        <c:rich>
          <a:bodyPr/>
          <a:lstStyle/>
          <a:p>
            <a:pPr>
              <a:defRPr sz="1050">
                <a:latin typeface="Arial" pitchFamily="34" charset="0"/>
                <a:cs typeface="Arial" pitchFamily="34" charset="0"/>
              </a:defRPr>
            </a:pPr>
            <a:r>
              <a:rPr lang="ru-RU" sz="1050">
                <a:latin typeface="Arial" pitchFamily="34" charset="0"/>
                <a:cs typeface="Arial" pitchFamily="34" charset="0"/>
              </a:rPr>
              <a:t>Динамика удельной цены предложения таунхаусов, руб./кв.м.</a:t>
            </a:r>
          </a:p>
        </c:rich>
      </c:tx>
      <c:layout>
        <c:manualLayout>
          <c:xMode val="edge"/>
          <c:yMode val="edge"/>
          <c:x val="0.24869094488189042"/>
          <c:y val="1.0399348003259958E-2"/>
        </c:manualLayout>
      </c:layout>
    </c:title>
    <c:plotArea>
      <c:layout>
        <c:manualLayout>
          <c:layoutTarget val="inner"/>
          <c:xMode val="edge"/>
          <c:yMode val="edge"/>
          <c:x val="0.1015068231413602"/>
          <c:y val="0.22685634555903594"/>
          <c:w val="0.86893435195600555"/>
          <c:h val="0.6007922801471377"/>
        </c:manualLayout>
      </c:layout>
      <c:barChart>
        <c:barDir val="col"/>
        <c:grouping val="clustered"/>
        <c:ser>
          <c:idx val="0"/>
          <c:order val="0"/>
          <c:tx>
            <c:strRef>
              <c:f>таунхаусы!$A$42</c:f>
              <c:strCache>
                <c:ptCount val="1"/>
                <c:pt idx="0">
                  <c:v>Удельная цена предложения таунхаусов</c:v>
                </c:pt>
              </c:strCache>
            </c:strRef>
          </c:tx>
          <c:dLbls>
            <c:dLbl>
              <c:idx val="1"/>
              <c:layout>
                <c:manualLayout>
                  <c:x val="-7.9365079365079413E-3"/>
                  <c:y val="1.2944980520097718E-2"/>
                </c:manualLayout>
              </c:layout>
              <c:showVal val="1"/>
            </c:dLbl>
            <c:dLbl>
              <c:idx val="4"/>
              <c:layout>
                <c:manualLayout>
                  <c:x val="-7.9365079365079413E-3"/>
                  <c:y val="0"/>
                </c:manualLayout>
              </c:layout>
              <c:showVal val="1"/>
            </c:dLbl>
            <c:dLbl>
              <c:idx val="5"/>
              <c:layout>
                <c:manualLayout>
                  <c:x val="-9.920634920635045E-3"/>
                  <c:y val="3.2362451300244227E-3"/>
                </c:manualLayout>
              </c:layout>
              <c:showVal val="1"/>
            </c:dLbl>
            <c:dLbl>
              <c:idx val="6"/>
              <c:layout>
                <c:manualLayout>
                  <c:x val="-1.9841269841270061E-3"/>
                  <c:y val="9.7087353900732892E-3"/>
                </c:manualLayout>
              </c:layout>
              <c:showVal val="1"/>
            </c:dLbl>
            <c:txPr>
              <a:bodyPr rot="0" vert="horz"/>
              <a:lstStyle/>
              <a:p>
                <a:pPr>
                  <a:defRPr sz="900"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  <c:showVal val="1"/>
          </c:dLbls>
          <c:cat>
            <c:strRef>
              <c:f>таунхаусы!$C$43:$D$43</c:f>
              <c:strCache>
                <c:ptCount val="2"/>
                <c:pt idx="0">
                  <c:v>3 кв.2014</c:v>
                </c:pt>
                <c:pt idx="1">
                  <c:v>4 кв.2014</c:v>
                </c:pt>
              </c:strCache>
            </c:strRef>
          </c:cat>
          <c:val>
            <c:numRef>
              <c:f>таунхаусы!$C$44:$D$44</c:f>
              <c:numCache>
                <c:formatCode>General</c:formatCode>
                <c:ptCount val="2"/>
                <c:pt idx="0">
                  <c:v>48431</c:v>
                </c:pt>
                <c:pt idx="1">
                  <c:v>45197</c:v>
                </c:pt>
              </c:numCache>
            </c:numRef>
          </c:val>
        </c:ser>
        <c:overlap val="-16"/>
        <c:axId val="152371968"/>
        <c:axId val="152373504"/>
      </c:barChart>
      <c:catAx>
        <c:axId val="152371968"/>
        <c:scaling>
          <c:orientation val="minMax"/>
        </c:scaling>
        <c:axPos val="b"/>
        <c:majorTickMark val="none"/>
        <c:tickLblPos val="nextTo"/>
        <c:txPr>
          <a:bodyPr rot="0" vert="horz"/>
          <a:lstStyle/>
          <a:p>
            <a:pPr>
              <a:defRPr sz="800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152373504"/>
        <c:crosses val="autoZero"/>
        <c:auto val="1"/>
        <c:lblAlgn val="ctr"/>
        <c:lblOffset val="100"/>
      </c:catAx>
      <c:valAx>
        <c:axId val="152373504"/>
        <c:scaling>
          <c:orientation val="minMax"/>
          <c:max val="70000"/>
          <c:min val="0"/>
        </c:scaling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руб./кв.м.</a:t>
                </a:r>
              </a:p>
            </c:rich>
          </c:tx>
          <c:layout>
            <c:manualLayout>
              <c:xMode val="edge"/>
              <c:yMode val="edge"/>
              <c:x val="4.7565015071805982E-4"/>
              <c:y val="0.1060800671291553"/>
            </c:manualLayout>
          </c:layout>
        </c:title>
        <c:numFmt formatCode="General" sourceLinked="1"/>
        <c:tickLblPos val="nextTo"/>
        <c:txPr>
          <a:bodyPr/>
          <a:lstStyle/>
          <a:p>
            <a:pPr>
              <a:defRPr sz="900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152371968"/>
        <c:crosses val="autoZero"/>
        <c:crossBetween val="between"/>
      </c:valAx>
    </c:plotArea>
    <c:plotVisOnly val="1"/>
    <c:dispBlanksAs val="gap"/>
  </c:chart>
  <c:spPr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5"/>
  <c:chart>
    <c:title>
      <c:tx>
        <c:rich>
          <a:bodyPr/>
          <a:lstStyle/>
          <a:p>
            <a:pPr>
              <a:defRPr sz="1100">
                <a:latin typeface="Arial" pitchFamily="34" charset="0"/>
                <a:cs typeface="Arial" pitchFamily="34" charset="0"/>
              </a:defRPr>
            </a:pPr>
            <a:r>
              <a:rPr lang="ru-RU" sz="1100">
                <a:latin typeface="Arial" pitchFamily="34" charset="0"/>
                <a:cs typeface="Arial" pitchFamily="34" charset="0"/>
              </a:rPr>
              <a:t>Структура предложения  по направлениям</a:t>
            </a:r>
          </a:p>
          <a:p>
            <a:pPr>
              <a:defRPr sz="1100">
                <a:latin typeface="Arial" pitchFamily="34" charset="0"/>
                <a:cs typeface="Arial" pitchFamily="34" charset="0"/>
              </a:defRPr>
            </a:pPr>
            <a:r>
              <a:rPr lang="ru-RU" sz="1100">
                <a:latin typeface="Arial" pitchFamily="34" charset="0"/>
                <a:cs typeface="Arial" pitchFamily="34" charset="0"/>
              </a:rPr>
              <a:t>
</a:t>
            </a:r>
          </a:p>
        </c:rich>
      </c:tx>
      <c:layout>
        <c:manualLayout>
          <c:xMode val="edge"/>
          <c:yMode val="edge"/>
          <c:x val="0.15835160971850987"/>
          <c:y val="0"/>
        </c:manualLayout>
      </c:layout>
    </c:title>
    <c:plotArea>
      <c:layout>
        <c:manualLayout>
          <c:layoutTarget val="inner"/>
          <c:xMode val="edge"/>
          <c:yMode val="edge"/>
          <c:x val="0.32417231332322405"/>
          <c:y val="0.23161315151204062"/>
          <c:w val="0.4221656787283613"/>
          <c:h val="0.58524525555801366"/>
        </c:manualLayout>
      </c:layout>
      <c:pieChart>
        <c:varyColors val="1"/>
        <c:ser>
          <c:idx val="0"/>
          <c:order val="0"/>
          <c:explosion val="1"/>
          <c:dLbls>
            <c:dLbl>
              <c:idx val="0"/>
              <c:layout>
                <c:manualLayout>
                  <c:x val="0.11649941005080787"/>
                  <c:y val="0.1457325583587458"/>
                </c:manualLayout>
              </c:layout>
              <c:showCatName val="1"/>
              <c:showPercent val="1"/>
            </c:dLbl>
            <c:dLbl>
              <c:idx val="1"/>
              <c:layout>
                <c:manualLayout>
                  <c:x val="9.7982999831443082E-2"/>
                  <c:y val="0.12457980857928352"/>
                </c:manualLayout>
              </c:layout>
              <c:showCatName val="1"/>
              <c:showPercent val="1"/>
            </c:dLbl>
            <c:dLbl>
              <c:idx val="2"/>
              <c:layout>
                <c:manualLayout>
                  <c:x val="-5.5589684316983433E-2"/>
                  <c:y val="2.2478900231231232E-2"/>
                </c:manualLayout>
              </c:layout>
              <c:showCatName val="1"/>
              <c:showPercent val="1"/>
            </c:dLbl>
            <c:dLbl>
              <c:idx val="3"/>
              <c:layout>
                <c:manualLayout>
                  <c:x val="-0.15184916564328541"/>
                  <c:y val="3.3105330799779252E-2"/>
                </c:manualLayout>
              </c:layout>
              <c:showCatName val="1"/>
              <c:showPercent val="1"/>
            </c:dLbl>
            <c:dLbl>
              <c:idx val="4"/>
              <c:layout>
                <c:manualLayout>
                  <c:x val="-0.17740944939511974"/>
                  <c:y val="-7.9058719211694724E-3"/>
                </c:manualLayout>
              </c:layout>
              <c:showCatName val="1"/>
              <c:showPercent val="1"/>
            </c:dLbl>
            <c:dLbl>
              <c:idx val="5"/>
              <c:layout>
                <c:manualLayout>
                  <c:x val="-0.10007695827012462"/>
                  <c:y val="-4.8713276521222112E-3"/>
                </c:manualLayout>
              </c:layout>
              <c:showCatName val="1"/>
              <c:showPercent val="1"/>
            </c:dLbl>
            <c:dLbl>
              <c:idx val="6"/>
              <c:layout>
                <c:manualLayout>
                  <c:x val="-0.15839264128681171"/>
                  <c:y val="-2.7718819700095002E-2"/>
                </c:manualLayout>
              </c:layout>
              <c:showCatName val="1"/>
              <c:showPercent val="1"/>
            </c:dLbl>
            <c:dLbl>
              <c:idx val="7"/>
              <c:layout>
                <c:manualLayout>
                  <c:x val="3.8105035035758142E-2"/>
                  <c:y val="-5.9822061812913579E-2"/>
                </c:manualLayout>
              </c:layout>
              <c:showCatName val="1"/>
              <c:showPercent val="1"/>
            </c:dLbl>
            <c:dLbl>
              <c:idx val="8"/>
              <c:layout>
                <c:manualLayout>
                  <c:x val="0.31755835382451647"/>
                  <c:y val="-5.8301864346510133E-3"/>
                </c:manualLayout>
              </c:layout>
              <c:showCatName val="1"/>
              <c:showPercent val="1"/>
            </c:dLbl>
            <c:spPr>
              <a:ln>
                <a:solidFill>
                  <a:schemeClr val="bg1">
                    <a:lumMod val="85000"/>
                  </a:schemeClr>
                </a:solidFill>
              </a:ln>
            </c:spPr>
            <c:txPr>
              <a:bodyPr/>
              <a:lstStyle/>
              <a:p>
                <a:pPr>
                  <a:defRPr sz="900"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  <c:showCatName val="1"/>
            <c:showPercent val="1"/>
            <c:showLeaderLines val="1"/>
          </c:dLbls>
          <c:cat>
            <c:strRef>
              <c:f>'свод, общ'!$A$3:$A$11</c:f>
              <c:strCache>
                <c:ptCount val="9"/>
                <c:pt idx="0">
                  <c:v>Тюмень</c:v>
                </c:pt>
                <c:pt idx="1">
                  <c:v>Московский тракт</c:v>
                </c:pt>
                <c:pt idx="2">
                  <c:v>Червишевский тракт</c:v>
                </c:pt>
                <c:pt idx="3">
                  <c:v>Велижанский тракт</c:v>
                </c:pt>
                <c:pt idx="4">
                  <c:v>Салаирский тракт</c:v>
                </c:pt>
                <c:pt idx="5">
                  <c:v>Ялуторовский тракт</c:v>
                </c:pt>
                <c:pt idx="6">
                  <c:v>Ирбитский тракт</c:v>
                </c:pt>
                <c:pt idx="7">
                  <c:v>Тобольский тракт</c:v>
                </c:pt>
                <c:pt idx="8">
                  <c:v>Старый Тобольский тракт</c:v>
                </c:pt>
              </c:strCache>
            </c:strRef>
          </c:cat>
          <c:val>
            <c:numRef>
              <c:f>'свод, общ'!$B$3:$B$11</c:f>
              <c:numCache>
                <c:formatCode>General</c:formatCode>
                <c:ptCount val="9"/>
                <c:pt idx="0">
                  <c:v>1675</c:v>
                </c:pt>
                <c:pt idx="1">
                  <c:v>1848</c:v>
                </c:pt>
                <c:pt idx="2">
                  <c:v>806</c:v>
                </c:pt>
                <c:pt idx="3">
                  <c:v>1373</c:v>
                </c:pt>
                <c:pt idx="4">
                  <c:v>2490</c:v>
                </c:pt>
                <c:pt idx="5">
                  <c:v>1157</c:v>
                </c:pt>
                <c:pt idx="6">
                  <c:v>802</c:v>
                </c:pt>
                <c:pt idx="7">
                  <c:v>615</c:v>
                </c:pt>
                <c:pt idx="8">
                  <c:v>509</c:v>
                </c:pt>
              </c:numCache>
            </c:numRef>
          </c:val>
        </c:ser>
        <c:dLbls>
          <c:showCatName val="1"/>
          <c:showPercent val="1"/>
        </c:dLbls>
        <c:firstSliceAng val="0"/>
      </c:pieChart>
    </c:plotArea>
    <c:plotVisOnly val="1"/>
  </c:chart>
  <c:spPr>
    <a:ln>
      <a:noFill/>
    </a:ln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5"/>
  <c:chart>
    <c:title>
      <c:tx>
        <c:rich>
          <a:bodyPr/>
          <a:lstStyle/>
          <a:p>
            <a:pPr>
              <a:defRPr sz="1000">
                <a:latin typeface="Arial" pitchFamily="34" charset="0"/>
                <a:cs typeface="Arial" pitchFamily="34" charset="0"/>
              </a:defRPr>
            </a:pPr>
            <a:r>
              <a:rPr lang="ru-RU" sz="1000">
                <a:latin typeface="Arial" pitchFamily="34" charset="0"/>
                <a:cs typeface="Arial" pitchFamily="34" charset="0"/>
              </a:rPr>
              <a:t>Объем предложения земель с/х </a:t>
            </a:r>
            <a:r>
              <a:rPr lang="ru-RU" sz="1000" baseline="0">
                <a:latin typeface="Arial" pitchFamily="34" charset="0"/>
                <a:cs typeface="Arial" pitchFamily="34" charset="0"/>
              </a:rPr>
              <a:t> назначения в зависимости от направления</a:t>
            </a:r>
            <a:r>
              <a:rPr lang="ru-RU" sz="1000">
                <a:latin typeface="Arial" pitchFamily="34" charset="0"/>
                <a:cs typeface="Arial" pitchFamily="34" charset="0"/>
              </a:rPr>
              <a:t>, %</a:t>
            </a:r>
          </a:p>
          <a:p>
            <a:pPr>
              <a:defRPr sz="1000">
                <a:latin typeface="Arial" pitchFamily="34" charset="0"/>
                <a:cs typeface="Arial" pitchFamily="34" charset="0"/>
              </a:defRPr>
            </a:pPr>
            <a:r>
              <a:rPr lang="ru-RU" sz="1000">
                <a:latin typeface="Arial" pitchFamily="34" charset="0"/>
                <a:cs typeface="Arial" pitchFamily="34" charset="0"/>
              </a:rPr>
              <a:t>
</a:t>
            </a:r>
          </a:p>
        </c:rich>
      </c:tx>
      <c:layout>
        <c:manualLayout>
          <c:xMode val="edge"/>
          <c:yMode val="edge"/>
          <c:x val="0.12492962246067699"/>
          <c:y val="0"/>
        </c:manualLayout>
      </c:layout>
    </c:title>
    <c:plotArea>
      <c:layout>
        <c:manualLayout>
          <c:layoutTarget val="inner"/>
          <c:xMode val="edge"/>
          <c:yMode val="edge"/>
          <c:x val="0.2903173257189014"/>
          <c:y val="0.21408380638466704"/>
          <c:w val="0.44493669060598201"/>
          <c:h val="0.70785408580808185"/>
        </c:manualLayout>
      </c:layout>
      <c:pieChart>
        <c:varyColors val="1"/>
        <c:ser>
          <c:idx val="0"/>
          <c:order val="0"/>
          <c:dLbls>
            <c:dLbl>
              <c:idx val="0"/>
              <c:layout>
                <c:manualLayout>
                  <c:x val="9.1896282195494949E-2"/>
                  <c:y val="3.0599647816620949E-2"/>
                </c:manualLayout>
              </c:layout>
              <c:showCatName val="1"/>
              <c:showPercent val="1"/>
            </c:dLbl>
            <c:dLbl>
              <c:idx val="1"/>
              <c:layout>
                <c:manualLayout>
                  <c:x val="6.2877982037235422E-2"/>
                  <c:y val="7.5537142159555634E-2"/>
                </c:manualLayout>
              </c:layout>
              <c:showCatName val="1"/>
              <c:showPercent val="1"/>
            </c:dLbl>
            <c:dLbl>
              <c:idx val="2"/>
              <c:layout>
                <c:manualLayout>
                  <c:x val="5.9207291396267826E-2"/>
                  <c:y val="7.6560056002810462E-2"/>
                </c:manualLayout>
              </c:layout>
              <c:showCatName val="1"/>
              <c:showPercent val="1"/>
            </c:dLbl>
            <c:dLbl>
              <c:idx val="3"/>
              <c:layout>
                <c:manualLayout>
                  <c:x val="6.9366511741813686E-2"/>
                  <c:y val="-9.0084844045657267E-2"/>
                </c:manualLayout>
              </c:layout>
              <c:showCatName val="1"/>
              <c:showPercent val="1"/>
            </c:dLbl>
            <c:dLbl>
              <c:idx val="4"/>
              <c:layout>
                <c:manualLayout>
                  <c:x val="0.10137247163913582"/>
                  <c:y val="-0.10210734527749239"/>
                </c:manualLayout>
              </c:layout>
              <c:showCatName val="1"/>
              <c:showPercent val="1"/>
            </c:dLbl>
            <c:dLbl>
              <c:idx val="5"/>
              <c:layout>
                <c:manualLayout>
                  <c:x val="-4.7466528222433836E-2"/>
                  <c:y val="0.16474245718571204"/>
                </c:manualLayout>
              </c:layout>
              <c:showCatName val="1"/>
              <c:showPercent val="1"/>
            </c:dLbl>
            <c:dLbl>
              <c:idx val="6"/>
              <c:layout>
                <c:manualLayout>
                  <c:x val="-9.6403334198609802E-2"/>
                  <c:y val="0.1513217522242726"/>
                </c:manualLayout>
              </c:layout>
              <c:showCatName val="1"/>
              <c:showPercent val="1"/>
            </c:dLbl>
            <c:dLbl>
              <c:idx val="7"/>
              <c:layout>
                <c:manualLayout>
                  <c:x val="-0.18814709699749113"/>
                  <c:y val="0.18657386214924371"/>
                </c:manualLayout>
              </c:layout>
              <c:showCatName val="1"/>
              <c:showPercent val="1"/>
            </c:dLbl>
            <c:dLbl>
              <c:idx val="8"/>
              <c:layout>
                <c:manualLayout>
                  <c:x val="-0.12056992875890522"/>
                  <c:y val="0.15128027138016334"/>
                </c:manualLayout>
              </c:layout>
              <c:showCatName val="1"/>
              <c:showPercent val="1"/>
            </c:dLbl>
            <c:spPr>
              <a:ln>
                <a:solidFill>
                  <a:schemeClr val="bg1">
                    <a:lumMod val="85000"/>
                  </a:schemeClr>
                </a:solidFill>
              </a:ln>
            </c:spPr>
            <c:txPr>
              <a:bodyPr/>
              <a:lstStyle/>
              <a:p>
                <a:pPr>
                  <a:defRPr sz="900"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  <c:showCatName val="1"/>
            <c:showPercent val="1"/>
            <c:showLeaderLines val="1"/>
          </c:dLbls>
          <c:cat>
            <c:strRef>
              <c:f>'зу с ВРИ'!$B$33:$B$41</c:f>
              <c:strCache>
                <c:ptCount val="9"/>
                <c:pt idx="0">
                  <c:v>Тюмень</c:v>
                </c:pt>
                <c:pt idx="1">
                  <c:v>Московский тракт</c:v>
                </c:pt>
                <c:pt idx="2">
                  <c:v>Червишевский тракт</c:v>
                </c:pt>
                <c:pt idx="3">
                  <c:v>Велижанский тракт</c:v>
                </c:pt>
                <c:pt idx="4">
                  <c:v>Салаирский тракт</c:v>
                </c:pt>
                <c:pt idx="5">
                  <c:v>Ялуторовский тракт</c:v>
                </c:pt>
                <c:pt idx="6">
                  <c:v>Ирбитский тракт</c:v>
                </c:pt>
                <c:pt idx="7">
                  <c:v>Тобольский тракт</c:v>
                </c:pt>
                <c:pt idx="8">
                  <c:v>Старый Тобольский тракт</c:v>
                </c:pt>
              </c:strCache>
            </c:strRef>
          </c:cat>
          <c:val>
            <c:numRef>
              <c:f>'зу с ВРИ'!$C$33:$C$41</c:f>
              <c:numCache>
                <c:formatCode>0</c:formatCode>
                <c:ptCount val="9"/>
                <c:pt idx="0">
                  <c:v>37</c:v>
                </c:pt>
                <c:pt idx="1">
                  <c:v>192</c:v>
                </c:pt>
                <c:pt idx="2">
                  <c:v>87</c:v>
                </c:pt>
                <c:pt idx="3">
                  <c:v>345</c:v>
                </c:pt>
                <c:pt idx="4">
                  <c:v>428</c:v>
                </c:pt>
                <c:pt idx="5">
                  <c:v>140</c:v>
                </c:pt>
                <c:pt idx="6">
                  <c:v>175</c:v>
                </c:pt>
                <c:pt idx="7">
                  <c:v>126</c:v>
                </c:pt>
                <c:pt idx="8">
                  <c:v>101</c:v>
                </c:pt>
              </c:numCache>
            </c:numRef>
          </c:val>
        </c:ser>
        <c:dLbls>
          <c:showCatName val="1"/>
          <c:showPercent val="1"/>
        </c:dLbls>
        <c:firstSliceAng val="0"/>
      </c:pieChart>
    </c:plotArea>
    <c:plotVisOnly val="1"/>
  </c:chart>
  <c:spPr>
    <a:ln>
      <a:noFill/>
    </a:ln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5"/>
  <c:chart>
    <c:title>
      <c:tx>
        <c:rich>
          <a:bodyPr/>
          <a:lstStyle/>
          <a:p>
            <a:pPr>
              <a:defRPr sz="1000">
                <a:latin typeface="Arial" pitchFamily="34" charset="0"/>
                <a:cs typeface="Arial" pitchFamily="34" charset="0"/>
              </a:defRPr>
            </a:pPr>
            <a:r>
              <a:rPr lang="ru-RU" sz="1000">
                <a:latin typeface="Arial" pitchFamily="34" charset="0"/>
                <a:cs typeface="Arial" pitchFamily="34" charset="0"/>
              </a:rPr>
              <a:t>Объем предложения земель с категорией земли поселений </a:t>
            </a:r>
            <a:r>
              <a:rPr lang="ru-RU" sz="1000" baseline="0">
                <a:latin typeface="Arial" pitchFamily="34" charset="0"/>
                <a:cs typeface="Arial" pitchFamily="34" charset="0"/>
              </a:rPr>
              <a:t>в зависимости от направления</a:t>
            </a:r>
            <a:r>
              <a:rPr lang="ru-RU" sz="1000">
                <a:latin typeface="Arial" pitchFamily="34" charset="0"/>
                <a:cs typeface="Arial" pitchFamily="34" charset="0"/>
              </a:rPr>
              <a:t>, %</a:t>
            </a:r>
          </a:p>
          <a:p>
            <a:pPr>
              <a:defRPr sz="1000">
                <a:latin typeface="Arial" pitchFamily="34" charset="0"/>
                <a:cs typeface="Arial" pitchFamily="34" charset="0"/>
              </a:defRPr>
            </a:pPr>
            <a:r>
              <a:rPr lang="ru-RU" sz="1000">
                <a:latin typeface="Arial" pitchFamily="34" charset="0"/>
                <a:cs typeface="Arial" pitchFamily="34" charset="0"/>
              </a:rPr>
              <a:t>
</a:t>
            </a:r>
          </a:p>
        </c:rich>
      </c:tx>
      <c:layout>
        <c:manualLayout>
          <c:xMode val="edge"/>
          <c:yMode val="edge"/>
          <c:x val="8.7777677675874036E-2"/>
          <c:y val="2.6122344463039683E-3"/>
        </c:manualLayout>
      </c:layout>
    </c:title>
    <c:plotArea>
      <c:layout>
        <c:manualLayout>
          <c:layoutTarget val="inner"/>
          <c:xMode val="edge"/>
          <c:yMode val="edge"/>
          <c:x val="0.26751258156950664"/>
          <c:y val="0.21408380638466704"/>
          <c:w val="0.46774133737869927"/>
          <c:h val="0.67978431488515134"/>
        </c:manualLayout>
      </c:layout>
      <c:pieChart>
        <c:varyColors val="1"/>
        <c:ser>
          <c:idx val="0"/>
          <c:order val="0"/>
          <c:dLbls>
            <c:dLbl>
              <c:idx val="0"/>
              <c:layout>
                <c:manualLayout>
                  <c:x val="8.3050865781365488E-2"/>
                  <c:y val="2.6812624031752129E-2"/>
                </c:manualLayout>
              </c:layout>
              <c:showCatName val="1"/>
              <c:showPercent val="1"/>
            </c:dLbl>
            <c:dLbl>
              <c:idx val="1"/>
              <c:layout>
                <c:manualLayout>
                  <c:x val="5.6532302728214016E-2"/>
                  <c:y val="9.71058957500949E-2"/>
                </c:manualLayout>
              </c:layout>
              <c:showCatName val="1"/>
              <c:showPercent val="1"/>
            </c:dLbl>
            <c:dLbl>
              <c:idx val="2"/>
              <c:layout>
                <c:manualLayout>
                  <c:x val="7.8133022418850784E-2"/>
                  <c:y val="1.7965426735451237E-4"/>
                </c:manualLayout>
              </c:layout>
              <c:showCatName val="1"/>
              <c:showPercent val="1"/>
            </c:dLbl>
            <c:dLbl>
              <c:idx val="3"/>
              <c:layout>
                <c:manualLayout>
                  <c:x val="4.4577896322797374E-3"/>
                  <c:y val="7.6163001176577094E-3"/>
                </c:manualLayout>
              </c:layout>
              <c:showCatName val="1"/>
              <c:showPercent val="1"/>
            </c:dLbl>
            <c:dLbl>
              <c:idx val="4"/>
              <c:layout>
                <c:manualLayout>
                  <c:x val="-0.1275425117314882"/>
                  <c:y val="-2.0773071021908611E-2"/>
                </c:manualLayout>
              </c:layout>
              <c:showCatName val="1"/>
              <c:showPercent val="1"/>
            </c:dLbl>
            <c:dLbl>
              <c:idx val="5"/>
              <c:layout>
                <c:manualLayout>
                  <c:x val="-5.0904187435286193E-2"/>
                  <c:y val="0.14623417191047144"/>
                </c:manualLayout>
              </c:layout>
              <c:showCatName val="1"/>
              <c:showPercent val="1"/>
            </c:dLbl>
            <c:dLbl>
              <c:idx val="6"/>
              <c:layout>
                <c:manualLayout>
                  <c:x val="-0.10188398468540057"/>
                  <c:y val="4.2796865370731595E-2"/>
                </c:manualLayout>
              </c:layout>
              <c:showCatName val="1"/>
              <c:showPercent val="1"/>
            </c:dLbl>
            <c:dLbl>
              <c:idx val="7"/>
              <c:layout>
                <c:manualLayout>
                  <c:x val="-0.11490934046088276"/>
                  <c:y val="1.6601930569354547E-3"/>
                </c:manualLayout>
              </c:layout>
              <c:showCatName val="1"/>
              <c:showPercent val="1"/>
            </c:dLbl>
            <c:dLbl>
              <c:idx val="8"/>
              <c:layout>
                <c:manualLayout>
                  <c:x val="8.0645537156825667E-2"/>
                  <c:y val="0.11614731085443586"/>
                </c:manualLayout>
              </c:layout>
              <c:showCatName val="1"/>
              <c:showPercent val="1"/>
            </c:dLbl>
            <c:spPr>
              <a:ln>
                <a:solidFill>
                  <a:schemeClr val="bg1">
                    <a:lumMod val="85000"/>
                  </a:schemeClr>
                </a:solidFill>
              </a:ln>
            </c:spPr>
            <c:txPr>
              <a:bodyPr/>
              <a:lstStyle/>
              <a:p>
                <a:pPr>
                  <a:defRPr sz="900"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  <c:showCatName val="1"/>
            <c:showPercent val="1"/>
            <c:showLeaderLines val="1"/>
          </c:dLbls>
          <c:cat>
            <c:strRef>
              <c:f>'зу с ВРИ'!$B$45:$B$53</c:f>
              <c:strCache>
                <c:ptCount val="9"/>
                <c:pt idx="0">
                  <c:v>Тюмень</c:v>
                </c:pt>
                <c:pt idx="1">
                  <c:v>Московский тракт</c:v>
                </c:pt>
                <c:pt idx="2">
                  <c:v>Червишевский тракт</c:v>
                </c:pt>
                <c:pt idx="3">
                  <c:v>Велижанский тракт</c:v>
                </c:pt>
                <c:pt idx="4">
                  <c:v>Салаирский тракт</c:v>
                </c:pt>
                <c:pt idx="5">
                  <c:v>Ялуторовский тракт</c:v>
                </c:pt>
                <c:pt idx="6">
                  <c:v>Ирбитский тракт</c:v>
                </c:pt>
                <c:pt idx="7">
                  <c:v>Тобольский тракт</c:v>
                </c:pt>
                <c:pt idx="8">
                  <c:v>Старый Тобольский тракт</c:v>
                </c:pt>
              </c:strCache>
            </c:strRef>
          </c:cat>
          <c:val>
            <c:numRef>
              <c:f>'зу с ВРИ'!$C$45:$C$53</c:f>
              <c:numCache>
                <c:formatCode>0</c:formatCode>
                <c:ptCount val="9"/>
                <c:pt idx="0">
                  <c:v>389</c:v>
                </c:pt>
                <c:pt idx="1">
                  <c:v>819</c:v>
                </c:pt>
                <c:pt idx="2">
                  <c:v>235</c:v>
                </c:pt>
                <c:pt idx="3">
                  <c:v>353</c:v>
                </c:pt>
                <c:pt idx="4">
                  <c:v>1043</c:v>
                </c:pt>
                <c:pt idx="5">
                  <c:v>275</c:v>
                </c:pt>
                <c:pt idx="6">
                  <c:v>340</c:v>
                </c:pt>
                <c:pt idx="7">
                  <c:v>180</c:v>
                </c:pt>
                <c:pt idx="8">
                  <c:v>257</c:v>
                </c:pt>
              </c:numCache>
            </c:numRef>
          </c:val>
        </c:ser>
        <c:dLbls>
          <c:showCatName val="1"/>
          <c:showPercent val="1"/>
        </c:dLbls>
        <c:firstSliceAng val="0"/>
      </c:pieChart>
    </c:plotArea>
    <c:plotVisOnly val="1"/>
  </c:chart>
  <c:spPr>
    <a:ln>
      <a:noFill/>
    </a:ln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5"/>
  <c:chart>
    <c:title>
      <c:tx>
        <c:rich>
          <a:bodyPr/>
          <a:lstStyle/>
          <a:p>
            <a:pPr>
              <a:defRPr sz="1000">
                <a:latin typeface="Arial" pitchFamily="34" charset="0"/>
                <a:cs typeface="Arial" pitchFamily="34" charset="0"/>
              </a:defRPr>
            </a:pPr>
            <a:r>
              <a:rPr lang="ru-RU" sz="1000">
                <a:latin typeface="Arial" pitchFamily="34" charset="0"/>
                <a:cs typeface="Arial" pitchFamily="34" charset="0"/>
              </a:rPr>
              <a:t>Объем предложения земель с/х </a:t>
            </a:r>
            <a:r>
              <a:rPr lang="ru-RU" sz="1000" baseline="0">
                <a:latin typeface="Arial" pitchFamily="34" charset="0"/>
                <a:cs typeface="Arial" pitchFamily="34" charset="0"/>
              </a:rPr>
              <a:t> назначения в разрезе по ВРИ</a:t>
            </a:r>
            <a:r>
              <a:rPr lang="ru-RU" sz="1000">
                <a:latin typeface="Arial" pitchFamily="34" charset="0"/>
                <a:cs typeface="Arial" pitchFamily="34" charset="0"/>
              </a:rPr>
              <a:t>, %</a:t>
            </a:r>
          </a:p>
          <a:p>
            <a:pPr>
              <a:defRPr sz="1000">
                <a:latin typeface="Arial" pitchFamily="34" charset="0"/>
                <a:cs typeface="Arial" pitchFamily="34" charset="0"/>
              </a:defRPr>
            </a:pPr>
            <a:r>
              <a:rPr lang="ru-RU" sz="1000">
                <a:latin typeface="Arial" pitchFamily="34" charset="0"/>
                <a:cs typeface="Arial" pitchFamily="34" charset="0"/>
              </a:rPr>
              <a:t>
</a:t>
            </a:r>
          </a:p>
        </c:rich>
      </c:tx>
      <c:layout>
        <c:manualLayout>
          <c:xMode val="edge"/>
          <c:yMode val="edge"/>
          <c:x val="0.2126962627833818"/>
          <c:y val="0"/>
        </c:manualLayout>
      </c:layout>
    </c:title>
    <c:plotArea>
      <c:layout>
        <c:manualLayout>
          <c:layoutTarget val="inner"/>
          <c:xMode val="edge"/>
          <c:yMode val="edge"/>
          <c:x val="0.26033569731548872"/>
          <c:y val="0.18635143136657892"/>
          <c:w val="0.48303182791806232"/>
          <c:h val="0.8019803249784615"/>
        </c:manualLayout>
      </c:layout>
      <c:pieChart>
        <c:varyColors val="1"/>
        <c:ser>
          <c:idx val="0"/>
          <c:order val="0"/>
          <c:dLbls>
            <c:dLbl>
              <c:idx val="0"/>
              <c:layout>
                <c:manualLayout>
                  <c:x val="3.9202803265785041E-2"/>
                  <c:y val="2.1748470868454235E-2"/>
                </c:manualLayout>
              </c:layout>
              <c:showCatName val="1"/>
              <c:showPercent val="1"/>
            </c:dLbl>
            <c:dLbl>
              <c:idx val="1"/>
              <c:layout>
                <c:manualLayout>
                  <c:x val="0.12778664735873532"/>
                  <c:y val="-0.12213740458015276"/>
                </c:manualLayout>
              </c:layout>
              <c:showCatName val="1"/>
              <c:showPercent val="1"/>
            </c:dLbl>
            <c:dLbl>
              <c:idx val="2"/>
              <c:layout>
                <c:manualLayout>
                  <c:x val="3.8690847881759409E-2"/>
                  <c:y val="7.8342872339195499E-2"/>
                </c:manualLayout>
              </c:layout>
              <c:showCatName val="1"/>
              <c:showPercent val="1"/>
            </c:dLbl>
            <c:dLbl>
              <c:idx val="3"/>
              <c:layout>
                <c:manualLayout>
                  <c:x val="5.8548387873534162E-2"/>
                  <c:y val="3.3946201196525749E-2"/>
                </c:manualLayout>
              </c:layout>
              <c:showCatName val="1"/>
              <c:showPercent val="1"/>
            </c:dLbl>
            <c:dLbl>
              <c:idx val="4"/>
              <c:layout>
                <c:manualLayout>
                  <c:x val="-0.13581930699029776"/>
                  <c:y val="-1.6161808557180943E-2"/>
                </c:manualLayout>
              </c:layout>
              <c:showCatName val="1"/>
              <c:showPercent val="1"/>
            </c:dLbl>
            <c:dLbl>
              <c:idx val="5"/>
              <c:layout>
                <c:manualLayout>
                  <c:x val="-3.7777745671699912E-2"/>
                  <c:y val="1.1640545619900857E-2"/>
                </c:manualLayout>
              </c:layout>
              <c:showCatName val="1"/>
              <c:showPercent val="1"/>
            </c:dLbl>
            <c:dLbl>
              <c:idx val="6"/>
              <c:layout>
                <c:manualLayout>
                  <c:x val="-9.2337595415251994E-2"/>
                  <c:y val="-4.8358661290123534E-2"/>
                </c:manualLayout>
              </c:layout>
              <c:showCatName val="1"/>
              <c:showPercent val="1"/>
            </c:dLbl>
            <c:dLbl>
              <c:idx val="7"/>
              <c:layout>
                <c:manualLayout>
                  <c:x val="-0.17718567747838837"/>
                  <c:y val="-8.871784003895368E-2"/>
                </c:manualLayout>
              </c:layout>
              <c:showCatName val="1"/>
              <c:showPercent val="1"/>
            </c:dLbl>
            <c:dLbl>
              <c:idx val="8"/>
              <c:layout>
                <c:manualLayout>
                  <c:x val="0.40073876086590132"/>
                  <c:y val="-8.4261584476758633E-2"/>
                </c:manualLayout>
              </c:layout>
              <c:showCatName val="1"/>
              <c:showPercent val="1"/>
            </c:dLbl>
            <c:spPr>
              <a:ln>
                <a:solidFill>
                  <a:schemeClr val="bg1">
                    <a:lumMod val="85000"/>
                  </a:schemeClr>
                </a:solidFill>
              </a:ln>
            </c:spPr>
            <c:txPr>
              <a:bodyPr/>
              <a:lstStyle/>
              <a:p>
                <a:pPr>
                  <a:defRPr sz="900"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  <c:showCatName val="1"/>
            <c:showPercent val="1"/>
            <c:showLeaderLines val="1"/>
          </c:dLbls>
          <c:cat>
            <c:strRef>
              <c:f>'зу с ВРИ'!$C$20:$C$22</c:f>
              <c:strCache>
                <c:ptCount val="3"/>
                <c:pt idx="0">
                  <c:v>ЛПХ</c:v>
                </c:pt>
                <c:pt idx="1">
                  <c:v>СиО</c:v>
                </c:pt>
                <c:pt idx="2">
                  <c:v>с/х</c:v>
                </c:pt>
              </c:strCache>
            </c:strRef>
          </c:cat>
          <c:val>
            <c:numRef>
              <c:f>'зу с ВРИ'!$D$20:$D$22</c:f>
              <c:numCache>
                <c:formatCode>0</c:formatCode>
                <c:ptCount val="3"/>
                <c:pt idx="0">
                  <c:v>327</c:v>
                </c:pt>
                <c:pt idx="1">
                  <c:v>1213</c:v>
                </c:pt>
                <c:pt idx="2">
                  <c:v>91</c:v>
                </c:pt>
              </c:numCache>
            </c:numRef>
          </c:val>
        </c:ser>
        <c:dLbls>
          <c:showCatName val="1"/>
          <c:showPercent val="1"/>
        </c:dLbls>
        <c:firstSliceAng val="0"/>
      </c:pieChart>
    </c:plotArea>
    <c:plotVisOnly val="1"/>
  </c:chart>
  <c:spPr>
    <a:ln>
      <a:noFill/>
    </a:ln>
  </c:sp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5"/>
  <c:chart>
    <c:title>
      <c:tx>
        <c:rich>
          <a:bodyPr/>
          <a:lstStyle/>
          <a:p>
            <a:pPr>
              <a:defRPr sz="1000">
                <a:latin typeface="Arial" pitchFamily="34" charset="0"/>
                <a:cs typeface="Arial" pitchFamily="34" charset="0"/>
              </a:defRPr>
            </a:pPr>
            <a:r>
              <a:rPr lang="ru-RU" sz="1000">
                <a:latin typeface="Arial" pitchFamily="34" charset="0"/>
                <a:cs typeface="Arial" pitchFamily="34" charset="0"/>
              </a:rPr>
              <a:t>Объем предложения земель категории земли поселений </a:t>
            </a:r>
            <a:r>
              <a:rPr lang="ru-RU" sz="1000" baseline="0">
                <a:latin typeface="Arial" pitchFamily="34" charset="0"/>
                <a:cs typeface="Arial" pitchFamily="34" charset="0"/>
              </a:rPr>
              <a:t>в разрезе по ВРИ</a:t>
            </a:r>
            <a:r>
              <a:rPr lang="ru-RU" sz="1000">
                <a:latin typeface="Arial" pitchFamily="34" charset="0"/>
                <a:cs typeface="Arial" pitchFamily="34" charset="0"/>
              </a:rPr>
              <a:t>, %</a:t>
            </a:r>
          </a:p>
          <a:p>
            <a:pPr>
              <a:defRPr sz="1000">
                <a:latin typeface="Arial" pitchFamily="34" charset="0"/>
                <a:cs typeface="Arial" pitchFamily="34" charset="0"/>
              </a:defRPr>
            </a:pPr>
            <a:r>
              <a:rPr lang="ru-RU" sz="1000">
                <a:latin typeface="Arial" pitchFamily="34" charset="0"/>
                <a:cs typeface="Arial" pitchFamily="34" charset="0"/>
              </a:rPr>
              <a:t>
</a:t>
            </a:r>
          </a:p>
        </c:rich>
      </c:tx>
      <c:layout>
        <c:manualLayout>
          <c:xMode val="edge"/>
          <c:yMode val="edge"/>
          <c:x val="9.6121476663243208E-2"/>
          <c:y val="4.6455603837902183E-3"/>
        </c:manualLayout>
      </c:layout>
    </c:title>
    <c:plotArea>
      <c:layout>
        <c:manualLayout>
          <c:layoutTarget val="inner"/>
          <c:xMode val="edge"/>
          <c:yMode val="edge"/>
          <c:x val="0.26033569731548883"/>
          <c:y val="0.18635143136657897"/>
          <c:w val="0.48303182791806232"/>
          <c:h val="0.8019803249784615"/>
        </c:manualLayout>
      </c:layout>
      <c:pieChart>
        <c:varyColors val="1"/>
        <c:ser>
          <c:idx val="0"/>
          <c:order val="0"/>
          <c:dLbls>
            <c:dLbl>
              <c:idx val="0"/>
              <c:layout>
                <c:manualLayout>
                  <c:x val="-0.12308427479173804"/>
                  <c:y val="7.2711035601877569E-2"/>
                </c:manualLayout>
              </c:layout>
              <c:showCatName val="1"/>
              <c:showPercent val="1"/>
            </c:dLbl>
            <c:dLbl>
              <c:idx val="1"/>
              <c:layout>
                <c:manualLayout>
                  <c:x val="0.14924258605605376"/>
                  <c:y val="-0.12213740458015269"/>
                </c:manualLayout>
              </c:layout>
              <c:showCatName val="1"/>
              <c:showPercent val="1"/>
            </c:dLbl>
            <c:dLbl>
              <c:idx val="2"/>
              <c:layout>
                <c:manualLayout>
                  <c:x val="-3.0493837726805934E-2"/>
                  <c:y val="-1.1213121181429085E-2"/>
                </c:manualLayout>
              </c:layout>
              <c:showCatName val="1"/>
              <c:showPercent val="1"/>
            </c:dLbl>
            <c:dLbl>
              <c:idx val="3"/>
              <c:layout>
                <c:manualLayout>
                  <c:x val="0.13211162397803686"/>
                  <c:y val="0.18661777964777304"/>
                </c:manualLayout>
              </c:layout>
              <c:showCatName val="1"/>
              <c:showPercent val="1"/>
            </c:dLbl>
            <c:dLbl>
              <c:idx val="4"/>
              <c:layout>
                <c:manualLayout>
                  <c:x val="-0.13581930699029782"/>
                  <c:y val="-1.6161808557180943E-2"/>
                </c:manualLayout>
              </c:layout>
              <c:showCatName val="1"/>
              <c:showPercent val="1"/>
            </c:dLbl>
            <c:dLbl>
              <c:idx val="5"/>
              <c:layout>
                <c:manualLayout>
                  <c:x val="-3.7777745671699933E-2"/>
                  <c:y val="1.1640545619900869E-2"/>
                </c:manualLayout>
              </c:layout>
              <c:showCatName val="1"/>
              <c:showPercent val="1"/>
            </c:dLbl>
            <c:dLbl>
              <c:idx val="6"/>
              <c:layout>
                <c:manualLayout>
                  <c:x val="-9.2337595415251994E-2"/>
                  <c:y val="-4.8358661290123534E-2"/>
                </c:manualLayout>
              </c:layout>
              <c:showCatName val="1"/>
              <c:showPercent val="1"/>
            </c:dLbl>
            <c:dLbl>
              <c:idx val="7"/>
              <c:layout>
                <c:manualLayout>
                  <c:x val="-0.17718567747838837"/>
                  <c:y val="-8.8717840038953735E-2"/>
                </c:manualLayout>
              </c:layout>
              <c:showCatName val="1"/>
              <c:showPercent val="1"/>
            </c:dLbl>
            <c:dLbl>
              <c:idx val="8"/>
              <c:layout>
                <c:manualLayout>
                  <c:x val="0.40073876086590132"/>
                  <c:y val="-8.4261584476758633E-2"/>
                </c:manualLayout>
              </c:layout>
              <c:showCatName val="1"/>
              <c:showPercent val="1"/>
            </c:dLbl>
            <c:spPr>
              <a:ln>
                <a:solidFill>
                  <a:schemeClr val="bg1">
                    <a:lumMod val="85000"/>
                  </a:schemeClr>
                </a:solidFill>
              </a:ln>
            </c:spPr>
            <c:txPr>
              <a:bodyPr/>
              <a:lstStyle/>
              <a:p>
                <a:pPr>
                  <a:defRPr sz="900"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  <c:showCatName val="1"/>
            <c:showPercent val="1"/>
            <c:showLeaderLines val="1"/>
          </c:dLbls>
          <c:cat>
            <c:strRef>
              <c:f>'зу с ВРИ'!$C$27:$C$30</c:f>
              <c:strCache>
                <c:ptCount val="4"/>
                <c:pt idx="0">
                  <c:v>ЛПХ</c:v>
                </c:pt>
                <c:pt idx="1">
                  <c:v>СиО</c:v>
                </c:pt>
                <c:pt idx="2">
                  <c:v>с/х</c:v>
                </c:pt>
                <c:pt idx="3">
                  <c:v>ИЖС</c:v>
                </c:pt>
              </c:strCache>
            </c:strRef>
          </c:cat>
          <c:val>
            <c:numRef>
              <c:f>'зу с ВРИ'!$D$27:$D$30</c:f>
              <c:numCache>
                <c:formatCode>0</c:formatCode>
                <c:ptCount val="4"/>
                <c:pt idx="0">
                  <c:v>1340</c:v>
                </c:pt>
                <c:pt idx="1">
                  <c:v>1152</c:v>
                </c:pt>
                <c:pt idx="2">
                  <c:v>39</c:v>
                </c:pt>
                <c:pt idx="3">
                  <c:v>1360</c:v>
                </c:pt>
              </c:numCache>
            </c:numRef>
          </c:val>
        </c:ser>
        <c:dLbls>
          <c:showCatName val="1"/>
          <c:showPercent val="1"/>
        </c:dLbls>
        <c:firstSliceAng val="0"/>
      </c:pieChart>
    </c:plotArea>
    <c:plotVisOnly val="1"/>
  </c:chart>
  <c:spPr>
    <a:ln>
      <a:noFill/>
    </a:ln>
  </c:sp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5"/>
  <c:chart>
    <c:title>
      <c:tx>
        <c:rich>
          <a:bodyPr/>
          <a:lstStyle/>
          <a:p>
            <a:pPr>
              <a:defRPr sz="1050">
                <a:latin typeface="Arial" pitchFamily="34" charset="0"/>
                <a:cs typeface="Arial" pitchFamily="34" charset="0"/>
              </a:defRPr>
            </a:pPr>
            <a:r>
              <a:rPr lang="ru-RU" sz="1050">
                <a:latin typeface="Arial" pitchFamily="34" charset="0"/>
                <a:cs typeface="Arial" pitchFamily="34" charset="0"/>
              </a:rPr>
              <a:t>Динамика удельной цены предложения земельных участков, руб./сот.</a:t>
            </a:r>
          </a:p>
        </c:rich>
      </c:tx>
      <c:layout>
        <c:manualLayout>
          <c:xMode val="edge"/>
          <c:yMode val="edge"/>
          <c:x val="0.23652036661704304"/>
          <c:y val="4.2898402881826295E-2"/>
        </c:manualLayout>
      </c:layout>
    </c:title>
    <c:plotArea>
      <c:layout>
        <c:manualLayout>
          <c:layoutTarget val="inner"/>
          <c:xMode val="edge"/>
          <c:yMode val="edge"/>
          <c:x val="6.0149260638016712E-2"/>
          <c:y val="0.1550756794378339"/>
          <c:w val="0.91420357479469649"/>
          <c:h val="0.55489347232406117"/>
        </c:manualLayout>
      </c:layout>
      <c:lineChart>
        <c:grouping val="standard"/>
        <c:ser>
          <c:idx val="0"/>
          <c:order val="0"/>
          <c:spPr>
            <a:ln w="22225"/>
          </c:spPr>
          <c:marker>
            <c:symbol val="circle"/>
            <c:size val="7"/>
          </c:marker>
          <c:dLbls>
            <c:txPr>
              <a:bodyPr rot="0" vert="horz"/>
              <a:lstStyle/>
              <a:p>
                <a:pPr>
                  <a:defRPr sz="900"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  <c:dLblPos val="t"/>
            <c:showVal val="1"/>
          </c:dLbls>
          <c:cat>
            <c:strRef>
              <c:f>'динамика уд. цены'!$G$1:$N$1</c:f>
              <c:strCache>
                <c:ptCount val="8"/>
                <c:pt idx="0">
                  <c:v>1 кв.2013</c:v>
                </c:pt>
                <c:pt idx="1">
                  <c:v>2 кв.2013</c:v>
                </c:pt>
                <c:pt idx="2">
                  <c:v>3 кв. 2013</c:v>
                </c:pt>
                <c:pt idx="3">
                  <c:v>4 кв.2013</c:v>
                </c:pt>
                <c:pt idx="4">
                  <c:v>1 кв.2014</c:v>
                </c:pt>
                <c:pt idx="5">
                  <c:v>2 кв.2014</c:v>
                </c:pt>
                <c:pt idx="6">
                  <c:v>3 кв.2014</c:v>
                </c:pt>
                <c:pt idx="7">
                  <c:v>4 кв.2014</c:v>
                </c:pt>
              </c:strCache>
            </c:strRef>
          </c:cat>
          <c:val>
            <c:numRef>
              <c:f>'динамика уд. цены'!$G$2:$N$2</c:f>
              <c:numCache>
                <c:formatCode>General</c:formatCode>
                <c:ptCount val="8"/>
                <c:pt idx="0">
                  <c:v>84289</c:v>
                </c:pt>
                <c:pt idx="1">
                  <c:v>79651</c:v>
                </c:pt>
                <c:pt idx="2">
                  <c:v>80109</c:v>
                </c:pt>
                <c:pt idx="3">
                  <c:v>84669</c:v>
                </c:pt>
                <c:pt idx="4">
                  <c:v>86791</c:v>
                </c:pt>
                <c:pt idx="5">
                  <c:v>86611</c:v>
                </c:pt>
                <c:pt idx="6">
                  <c:v>85588</c:v>
                </c:pt>
                <c:pt idx="7">
                  <c:v>83942</c:v>
                </c:pt>
              </c:numCache>
            </c:numRef>
          </c:val>
          <c:smooth val="1"/>
        </c:ser>
        <c:marker val="1"/>
        <c:axId val="119889920"/>
        <c:axId val="119891456"/>
      </c:lineChart>
      <c:catAx>
        <c:axId val="119889920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 rot="-1500000"/>
          <a:lstStyle/>
          <a:p>
            <a:pPr>
              <a:defRPr sz="900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119891456"/>
        <c:crosses val="autoZero"/>
        <c:auto val="1"/>
        <c:lblAlgn val="ctr"/>
        <c:lblOffset val="100"/>
      </c:catAx>
      <c:valAx>
        <c:axId val="119891456"/>
        <c:scaling>
          <c:orientation val="minMax"/>
          <c:max val="110000"/>
          <c:min val="50000"/>
        </c:scaling>
        <c:delete val="1"/>
        <c:axPos val="l"/>
        <c:numFmt formatCode="General" sourceLinked="1"/>
        <c:tickLblPos val="nextTo"/>
        <c:crossAx val="119889920"/>
        <c:crosses val="autoZero"/>
        <c:crossBetween val="between"/>
      </c:valAx>
    </c:plotArea>
    <c:plotVisOnly val="1"/>
  </c:chart>
  <c:spPr>
    <a:ln>
      <a:noFill/>
    </a:ln>
  </c:sp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23"/>
  <c:chart>
    <c:title>
      <c:tx>
        <c:rich>
          <a:bodyPr/>
          <a:lstStyle/>
          <a:p>
            <a:pPr>
              <a:defRPr sz="1050">
                <a:latin typeface="Arial" pitchFamily="34" charset="0"/>
                <a:cs typeface="Arial" pitchFamily="34" charset="0"/>
              </a:defRPr>
            </a:pPr>
            <a:r>
              <a:rPr lang="ru-RU" sz="1050">
                <a:latin typeface="Arial" pitchFamily="34" charset="0"/>
                <a:cs typeface="Arial" pitchFamily="34" charset="0"/>
              </a:rPr>
              <a:t>Удельная цена предложения земельных</a:t>
            </a:r>
            <a:r>
              <a:rPr lang="ru-RU" sz="1050" baseline="0">
                <a:latin typeface="Arial" pitchFamily="34" charset="0"/>
                <a:cs typeface="Arial" pitchFamily="34" charset="0"/>
              </a:rPr>
              <a:t> участков в разрезе по категориям</a:t>
            </a:r>
            <a:r>
              <a:rPr lang="ru-RU" sz="1050">
                <a:latin typeface="Arial" pitchFamily="34" charset="0"/>
                <a:cs typeface="Arial" pitchFamily="34" charset="0"/>
              </a:rPr>
              <a:t>, руб./сот.</a:t>
            </a:r>
          </a:p>
        </c:rich>
      </c:tx>
      <c:layout>
        <c:manualLayout>
          <c:xMode val="edge"/>
          <c:yMode val="edge"/>
          <c:x val="0.14679870256392674"/>
          <c:y val="1.0399164788416321E-2"/>
        </c:manualLayout>
      </c:layout>
    </c:title>
    <c:plotArea>
      <c:layout>
        <c:manualLayout>
          <c:layoutTarget val="inner"/>
          <c:xMode val="edge"/>
          <c:yMode val="edge"/>
          <c:x val="0.1015068231413602"/>
          <c:y val="0.22685634555903594"/>
          <c:w val="0.86893435195600555"/>
          <c:h val="0.6007922801471377"/>
        </c:manualLayout>
      </c:layout>
      <c:barChart>
        <c:barDir val="col"/>
        <c:grouping val="clustered"/>
        <c:ser>
          <c:idx val="0"/>
          <c:order val="0"/>
          <c:dLbls>
            <c:dLbl>
              <c:idx val="1"/>
              <c:layout>
                <c:manualLayout>
                  <c:x val="-7.9365079365079413E-3"/>
                  <c:y val="1.2944980520097718E-2"/>
                </c:manualLayout>
              </c:layout>
              <c:showVal val="1"/>
            </c:dLbl>
            <c:dLbl>
              <c:idx val="4"/>
              <c:layout>
                <c:manualLayout>
                  <c:x val="-7.9365079365079413E-3"/>
                  <c:y val="0"/>
                </c:manualLayout>
              </c:layout>
              <c:showVal val="1"/>
            </c:dLbl>
            <c:dLbl>
              <c:idx val="5"/>
              <c:layout>
                <c:manualLayout>
                  <c:x val="-9.9206349206350727E-3"/>
                  <c:y val="3.2362451300244227E-3"/>
                </c:manualLayout>
              </c:layout>
              <c:showVal val="1"/>
            </c:dLbl>
            <c:dLbl>
              <c:idx val="6"/>
              <c:layout>
                <c:manualLayout>
                  <c:x val="-1.9841269841270191E-3"/>
                  <c:y val="9.7087353900732892E-3"/>
                </c:manualLayout>
              </c:layout>
              <c:showVal val="1"/>
            </c:dLbl>
            <c:txPr>
              <a:bodyPr rot="0" vert="horz"/>
              <a:lstStyle/>
              <a:p>
                <a:pPr>
                  <a:defRPr sz="900">
                    <a:latin typeface="Arial" pitchFamily="34" charset="0"/>
                    <a:cs typeface="Arial" pitchFamily="34" charset="0"/>
                  </a:defRPr>
                </a:pPr>
                <a:endParaRPr lang="ru-RU"/>
              </a:p>
            </c:txPr>
            <c:showVal val="1"/>
          </c:dLbls>
          <c:cat>
            <c:strRef>
              <c:f>'ДППМ ЗУ'!$A$21:$A$22</c:f>
              <c:strCache>
                <c:ptCount val="2"/>
                <c:pt idx="0">
                  <c:v>с/х</c:v>
                </c:pt>
                <c:pt idx="1">
                  <c:v>земли поселений</c:v>
                </c:pt>
              </c:strCache>
            </c:strRef>
          </c:cat>
          <c:val>
            <c:numRef>
              <c:f>'ДППМ ЗУ'!$B$21:$B$22</c:f>
              <c:numCache>
                <c:formatCode>0</c:formatCode>
                <c:ptCount val="2"/>
                <c:pt idx="0">
                  <c:v>50659</c:v>
                </c:pt>
                <c:pt idx="1">
                  <c:v>101188</c:v>
                </c:pt>
              </c:numCache>
            </c:numRef>
          </c:val>
        </c:ser>
        <c:gapWidth val="269"/>
        <c:overlap val="-4"/>
        <c:axId val="130734720"/>
        <c:axId val="131065728"/>
      </c:barChart>
      <c:catAx>
        <c:axId val="130734720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 rot="0" vert="horz"/>
          <a:lstStyle/>
          <a:p>
            <a:pPr>
              <a:defRPr sz="800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131065728"/>
        <c:crosses val="autoZero"/>
        <c:auto val="1"/>
        <c:lblAlgn val="ctr"/>
        <c:lblOffset val="100"/>
      </c:catAx>
      <c:valAx>
        <c:axId val="131065728"/>
        <c:scaling>
          <c:orientation val="minMax"/>
          <c:max val="105000"/>
          <c:min val="0"/>
        </c:scaling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руб./сот.</a:t>
                </a:r>
              </a:p>
            </c:rich>
          </c:tx>
          <c:layout>
            <c:manualLayout>
              <c:xMode val="edge"/>
              <c:yMode val="edge"/>
              <c:x val="1.2120482756249355E-2"/>
              <c:y val="0.11103669662110092"/>
            </c:manualLayout>
          </c:layout>
        </c:title>
        <c:numFmt formatCode="0" sourceLinked="1"/>
        <c:tickLblPos val="nextTo"/>
        <c:txPr>
          <a:bodyPr/>
          <a:lstStyle/>
          <a:p>
            <a:pPr>
              <a:defRPr sz="900">
                <a:latin typeface="Arial" pitchFamily="34" charset="0"/>
                <a:cs typeface="Arial" pitchFamily="34" charset="0"/>
              </a:defRPr>
            </a:pPr>
            <a:endParaRPr lang="ru-RU"/>
          </a:p>
        </c:txPr>
        <c:crossAx val="130734720"/>
        <c:crosses val="autoZero"/>
        <c:crossBetween val="between"/>
      </c:valAx>
    </c:plotArea>
    <c:plotVisOnly val="1"/>
    <c:dispBlanksAs val="gap"/>
  </c:chart>
  <c:spPr>
    <a:ln>
      <a:noFill/>
    </a:ln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C35206-40D4-4477-BE35-F09DF08BC0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525</TotalTime>
  <Pages>1</Pages>
  <Words>920</Words>
  <Characters>5249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moiseeva</dc:creator>
  <cp:keywords/>
  <dc:description/>
  <cp:lastModifiedBy>moiseeva</cp:lastModifiedBy>
  <cp:revision>45</cp:revision>
  <cp:lastPrinted>2014-10-15T03:54:00Z</cp:lastPrinted>
  <dcterms:created xsi:type="dcterms:W3CDTF">2014-10-13T09:17:00Z</dcterms:created>
  <dcterms:modified xsi:type="dcterms:W3CDTF">2015-01-15T14:56:00Z</dcterms:modified>
</cp:coreProperties>
</file>