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Default="00F027FA" w:rsidP="008121EF">
      <w:pPr>
        <w:pStyle w:val="21"/>
        <w:ind w:firstLine="709"/>
        <w:jc w:val="center"/>
        <w:rPr>
          <w:rFonts w:cs="Arial"/>
          <w:snapToGrid w:val="0"/>
          <w:sz w:val="32"/>
          <w:szCs w:val="32"/>
        </w:rPr>
      </w:pPr>
      <w:bookmarkStart w:id="0" w:name="_GoBack"/>
      <w:bookmarkEnd w:id="0"/>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r>
        <w:rPr>
          <w:noProof/>
        </w:rPr>
        <w:drawing>
          <wp:inline distT="0" distB="0" distL="0" distR="0" wp14:anchorId="1BABCC01" wp14:editId="28BDF5EA">
            <wp:extent cx="5940425" cy="3963763"/>
            <wp:effectExtent l="0" t="0" r="3175" b="0"/>
            <wp:docPr id="1" name="Рисунок 1" descr="http://bigpicture.ru/wp-content/uploads/2012/05/vladik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picture.ru/wp-content/uploads/2012/05/vladik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3763"/>
                    </a:xfrm>
                    <a:prstGeom prst="rect">
                      <a:avLst/>
                    </a:prstGeom>
                    <a:noFill/>
                    <a:ln>
                      <a:noFill/>
                    </a:ln>
                  </pic:spPr>
                </pic:pic>
              </a:graphicData>
            </a:graphic>
          </wp:inline>
        </w:drawing>
      </w:r>
    </w:p>
    <w:p w:rsidR="00F027FA" w:rsidRDefault="00F027FA" w:rsidP="00D2654D">
      <w:pPr>
        <w:pStyle w:val="21"/>
        <w:ind w:firstLine="709"/>
        <w:jc w:val="center"/>
        <w:rPr>
          <w:rFonts w:cs="Arial"/>
          <w:snapToGrid w:val="0"/>
          <w:sz w:val="20"/>
        </w:rPr>
      </w:pPr>
    </w:p>
    <w:p w:rsidR="009F2A1A" w:rsidRDefault="009F2A1A" w:rsidP="009F2A1A">
      <w:pPr>
        <w:pStyle w:val="21"/>
        <w:ind w:firstLine="709"/>
        <w:jc w:val="right"/>
        <w:rPr>
          <w:rFonts w:cs="Arial"/>
          <w:snapToGrid w:val="0"/>
          <w:sz w:val="20"/>
        </w:rPr>
      </w:pPr>
      <w:r>
        <w:rPr>
          <w:rFonts w:cs="Arial"/>
          <w:snapToGrid w:val="0"/>
          <w:sz w:val="20"/>
        </w:rPr>
        <w:t>Февраль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CE25B4"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205842" w:history="1">
            <w:r w:rsidR="00CE25B4" w:rsidRPr="00541AAA">
              <w:rPr>
                <w:rStyle w:val="a3"/>
                <w:rFonts w:cs="Arial"/>
                <w:noProof/>
                <w:snapToGrid w:val="0"/>
              </w:rPr>
              <w:t>Введение</w:t>
            </w:r>
            <w:r w:rsidR="00CE25B4">
              <w:rPr>
                <w:noProof/>
                <w:webHidden/>
              </w:rPr>
              <w:tab/>
            </w:r>
            <w:r w:rsidR="00CE25B4">
              <w:rPr>
                <w:noProof/>
                <w:webHidden/>
              </w:rPr>
              <w:fldChar w:fldCharType="begin"/>
            </w:r>
            <w:r w:rsidR="00CE25B4">
              <w:rPr>
                <w:noProof/>
                <w:webHidden/>
              </w:rPr>
              <w:instrText xml:space="preserve"> PAGEREF _Toc445205842 \h </w:instrText>
            </w:r>
            <w:r w:rsidR="00CE25B4">
              <w:rPr>
                <w:noProof/>
                <w:webHidden/>
              </w:rPr>
            </w:r>
            <w:r w:rsidR="00CE25B4">
              <w:rPr>
                <w:noProof/>
                <w:webHidden/>
              </w:rPr>
              <w:fldChar w:fldCharType="separate"/>
            </w:r>
            <w:r w:rsidR="004175BB">
              <w:rPr>
                <w:noProof/>
                <w:webHidden/>
              </w:rPr>
              <w:t>3</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3" w:history="1">
            <w:r w:rsidR="00CE25B4" w:rsidRPr="00541AAA">
              <w:rPr>
                <w:rStyle w:val="a3"/>
                <w:rFonts w:cs="Arial"/>
                <w:noProof/>
              </w:rPr>
              <w:t>Диаграмма 1. Динамика изменения средней удельной цены предложения на вторичном рынке жилья в г.</w:t>
            </w:r>
            <w:r w:rsidR="00CE25B4" w:rsidRPr="00541AAA">
              <w:rPr>
                <w:rStyle w:val="a3"/>
                <w:rFonts w:cs="Arial"/>
                <w:noProof/>
                <w:lang w:val="en-US"/>
              </w:rPr>
              <w:t> </w:t>
            </w:r>
            <w:r w:rsidR="00CE25B4" w:rsidRPr="00541AAA">
              <w:rPr>
                <w:rStyle w:val="a3"/>
                <w:rFonts w:cs="Arial"/>
                <w:noProof/>
              </w:rPr>
              <w:t>Владивостоке, руб./кв.м.</w:t>
            </w:r>
            <w:r w:rsidR="00CE25B4">
              <w:rPr>
                <w:noProof/>
                <w:webHidden/>
              </w:rPr>
              <w:tab/>
            </w:r>
            <w:r w:rsidR="00CE25B4">
              <w:rPr>
                <w:noProof/>
                <w:webHidden/>
              </w:rPr>
              <w:fldChar w:fldCharType="begin"/>
            </w:r>
            <w:r w:rsidR="00CE25B4">
              <w:rPr>
                <w:noProof/>
                <w:webHidden/>
              </w:rPr>
              <w:instrText xml:space="preserve"> PAGEREF _Toc445205843 \h </w:instrText>
            </w:r>
            <w:r w:rsidR="00CE25B4">
              <w:rPr>
                <w:noProof/>
                <w:webHidden/>
              </w:rPr>
            </w:r>
            <w:r w:rsidR="00CE25B4">
              <w:rPr>
                <w:noProof/>
                <w:webHidden/>
              </w:rPr>
              <w:fldChar w:fldCharType="separate"/>
            </w:r>
            <w:r w:rsidR="004175BB">
              <w:rPr>
                <w:noProof/>
                <w:webHidden/>
              </w:rPr>
              <w:t>3</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4" w:history="1">
            <w:r w:rsidR="00CE25B4" w:rsidRPr="00541AAA">
              <w:rPr>
                <w:rStyle w:val="a3"/>
                <w:rFonts w:cs="Arial"/>
                <w:noProof/>
              </w:rPr>
              <w:t>Таблица 1. Средняя удельная цена  предложения за 1 кв.м. в г. Владивостоке, руб.</w:t>
            </w:r>
            <w:r w:rsidR="00CE25B4">
              <w:rPr>
                <w:noProof/>
                <w:webHidden/>
              </w:rPr>
              <w:tab/>
            </w:r>
            <w:r w:rsidR="00CE25B4">
              <w:rPr>
                <w:noProof/>
                <w:webHidden/>
              </w:rPr>
              <w:fldChar w:fldCharType="begin"/>
            </w:r>
            <w:r w:rsidR="00CE25B4">
              <w:rPr>
                <w:noProof/>
                <w:webHidden/>
              </w:rPr>
              <w:instrText xml:space="preserve"> PAGEREF _Toc445205844 \h </w:instrText>
            </w:r>
            <w:r w:rsidR="00CE25B4">
              <w:rPr>
                <w:noProof/>
                <w:webHidden/>
              </w:rPr>
            </w:r>
            <w:r w:rsidR="00CE25B4">
              <w:rPr>
                <w:noProof/>
                <w:webHidden/>
              </w:rPr>
              <w:fldChar w:fldCharType="separate"/>
            </w:r>
            <w:r w:rsidR="004175BB">
              <w:rPr>
                <w:noProof/>
                <w:webHidden/>
              </w:rPr>
              <w:t>4</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5" w:history="1">
            <w:r w:rsidR="00CE25B4" w:rsidRPr="00541AAA">
              <w:rPr>
                <w:rStyle w:val="a3"/>
                <w:rFonts w:cs="Arial"/>
                <w:noProof/>
              </w:rPr>
              <w:t>Таблица 2. Средняя удельная цена  предложения за 1 кв. м. в зависимости от материала стен  в г. Владивостоке, руб.</w:t>
            </w:r>
            <w:r w:rsidR="00CE25B4">
              <w:rPr>
                <w:noProof/>
                <w:webHidden/>
              </w:rPr>
              <w:tab/>
            </w:r>
            <w:r w:rsidR="00CE25B4">
              <w:rPr>
                <w:noProof/>
                <w:webHidden/>
              </w:rPr>
              <w:fldChar w:fldCharType="begin"/>
            </w:r>
            <w:r w:rsidR="00CE25B4">
              <w:rPr>
                <w:noProof/>
                <w:webHidden/>
              </w:rPr>
              <w:instrText xml:space="preserve"> PAGEREF _Toc445205845 \h </w:instrText>
            </w:r>
            <w:r w:rsidR="00CE25B4">
              <w:rPr>
                <w:noProof/>
                <w:webHidden/>
              </w:rPr>
            </w:r>
            <w:r w:rsidR="00CE25B4">
              <w:rPr>
                <w:noProof/>
                <w:webHidden/>
              </w:rPr>
              <w:fldChar w:fldCharType="separate"/>
            </w:r>
            <w:r w:rsidR="004175BB">
              <w:rPr>
                <w:noProof/>
                <w:webHidden/>
              </w:rPr>
              <w:t>4</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6" w:history="1">
            <w:r w:rsidR="00CE25B4" w:rsidRPr="00541AAA">
              <w:rPr>
                <w:rStyle w:val="a3"/>
                <w:rFonts w:cs="Arial"/>
                <w:noProof/>
              </w:rPr>
              <w:t>Таблица 3. Средняя удельная цена предложения  за 1 кв. м. в зависимости от этажа расположения квартиры в г. Владивостоке, руб.</w:t>
            </w:r>
            <w:r w:rsidR="00CE25B4">
              <w:rPr>
                <w:noProof/>
                <w:webHidden/>
              </w:rPr>
              <w:tab/>
            </w:r>
            <w:r w:rsidR="00CE25B4">
              <w:rPr>
                <w:noProof/>
                <w:webHidden/>
              </w:rPr>
              <w:fldChar w:fldCharType="begin"/>
            </w:r>
            <w:r w:rsidR="00CE25B4">
              <w:rPr>
                <w:noProof/>
                <w:webHidden/>
              </w:rPr>
              <w:instrText xml:space="preserve"> PAGEREF _Toc445205846 \h </w:instrText>
            </w:r>
            <w:r w:rsidR="00CE25B4">
              <w:rPr>
                <w:noProof/>
                <w:webHidden/>
              </w:rPr>
            </w:r>
            <w:r w:rsidR="00CE25B4">
              <w:rPr>
                <w:noProof/>
                <w:webHidden/>
              </w:rPr>
              <w:fldChar w:fldCharType="separate"/>
            </w:r>
            <w:r w:rsidR="004175BB">
              <w:rPr>
                <w:noProof/>
                <w:webHidden/>
              </w:rPr>
              <w:t>4</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7" w:history="1">
            <w:r w:rsidR="00CE25B4" w:rsidRPr="00541AAA">
              <w:rPr>
                <w:rStyle w:val="a3"/>
                <w:rFonts w:cs="Arial"/>
                <w:noProof/>
              </w:rPr>
              <w:t>Таблица 4. Средняя удельная цена предложения 1 кв. м. по типам квартир в г. Владивостоке, руб.</w:t>
            </w:r>
            <w:r w:rsidR="00CE25B4">
              <w:rPr>
                <w:noProof/>
                <w:webHidden/>
              </w:rPr>
              <w:tab/>
            </w:r>
            <w:r w:rsidR="00CE25B4">
              <w:rPr>
                <w:noProof/>
                <w:webHidden/>
              </w:rPr>
              <w:fldChar w:fldCharType="begin"/>
            </w:r>
            <w:r w:rsidR="00CE25B4">
              <w:rPr>
                <w:noProof/>
                <w:webHidden/>
              </w:rPr>
              <w:instrText xml:space="preserve"> PAGEREF _Toc445205847 \h </w:instrText>
            </w:r>
            <w:r w:rsidR="00CE25B4">
              <w:rPr>
                <w:noProof/>
                <w:webHidden/>
              </w:rPr>
            </w:r>
            <w:r w:rsidR="00CE25B4">
              <w:rPr>
                <w:noProof/>
                <w:webHidden/>
              </w:rPr>
              <w:fldChar w:fldCharType="separate"/>
            </w:r>
            <w:r w:rsidR="004175BB">
              <w:rPr>
                <w:noProof/>
                <w:webHidden/>
              </w:rPr>
              <w:t>4</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8" w:history="1">
            <w:r w:rsidR="00CE25B4" w:rsidRPr="00541AAA">
              <w:rPr>
                <w:rStyle w:val="a3"/>
                <w:rFonts w:cs="Arial"/>
                <w:noProof/>
              </w:rPr>
              <w:t>Таблица 5. Распределение рынка по типу квартир, штук</w:t>
            </w:r>
            <w:r w:rsidR="00CE25B4">
              <w:rPr>
                <w:noProof/>
                <w:webHidden/>
              </w:rPr>
              <w:tab/>
            </w:r>
            <w:r w:rsidR="00CE25B4">
              <w:rPr>
                <w:noProof/>
                <w:webHidden/>
              </w:rPr>
              <w:fldChar w:fldCharType="begin"/>
            </w:r>
            <w:r w:rsidR="00CE25B4">
              <w:rPr>
                <w:noProof/>
                <w:webHidden/>
              </w:rPr>
              <w:instrText xml:space="preserve"> PAGEREF _Toc445205848 \h </w:instrText>
            </w:r>
            <w:r w:rsidR="00CE25B4">
              <w:rPr>
                <w:noProof/>
                <w:webHidden/>
              </w:rPr>
            </w:r>
            <w:r w:rsidR="00CE25B4">
              <w:rPr>
                <w:noProof/>
                <w:webHidden/>
              </w:rPr>
              <w:fldChar w:fldCharType="separate"/>
            </w:r>
            <w:r w:rsidR="004175BB">
              <w:rPr>
                <w:noProof/>
                <w:webHidden/>
              </w:rPr>
              <w:t>4</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49" w:history="1">
            <w:r w:rsidR="00CE25B4" w:rsidRPr="00541AAA">
              <w:rPr>
                <w:rStyle w:val="a3"/>
                <w:rFonts w:cs="Arial"/>
                <w:noProof/>
              </w:rPr>
              <w:t>Диаграмма 2. Распределение рынка по типу квартир, штук</w:t>
            </w:r>
            <w:r w:rsidR="00CE25B4">
              <w:rPr>
                <w:noProof/>
                <w:webHidden/>
              </w:rPr>
              <w:tab/>
            </w:r>
            <w:r w:rsidR="00CE25B4">
              <w:rPr>
                <w:noProof/>
                <w:webHidden/>
              </w:rPr>
              <w:fldChar w:fldCharType="begin"/>
            </w:r>
            <w:r w:rsidR="00CE25B4">
              <w:rPr>
                <w:noProof/>
                <w:webHidden/>
              </w:rPr>
              <w:instrText xml:space="preserve"> PAGEREF _Toc445205849 \h </w:instrText>
            </w:r>
            <w:r w:rsidR="00CE25B4">
              <w:rPr>
                <w:noProof/>
                <w:webHidden/>
              </w:rPr>
            </w:r>
            <w:r w:rsidR="00CE25B4">
              <w:rPr>
                <w:noProof/>
                <w:webHidden/>
              </w:rPr>
              <w:fldChar w:fldCharType="separate"/>
            </w:r>
            <w:r w:rsidR="004175BB">
              <w:rPr>
                <w:noProof/>
                <w:webHidden/>
              </w:rPr>
              <w:t>4</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0" w:history="1">
            <w:r w:rsidR="00CE25B4" w:rsidRPr="00541AAA">
              <w:rPr>
                <w:rStyle w:val="a3"/>
                <w:rFonts w:cs="Arial"/>
                <w:noProof/>
              </w:rPr>
              <w:t>Таблица 6. Распределение объема предложения по типам квартир по районам г. Владивостока, штук</w:t>
            </w:r>
            <w:r w:rsidR="00CE25B4">
              <w:rPr>
                <w:noProof/>
                <w:webHidden/>
              </w:rPr>
              <w:tab/>
            </w:r>
            <w:r w:rsidR="00CE25B4">
              <w:rPr>
                <w:noProof/>
                <w:webHidden/>
              </w:rPr>
              <w:fldChar w:fldCharType="begin"/>
            </w:r>
            <w:r w:rsidR="00CE25B4">
              <w:rPr>
                <w:noProof/>
                <w:webHidden/>
              </w:rPr>
              <w:instrText xml:space="preserve"> PAGEREF _Toc445205850 \h </w:instrText>
            </w:r>
            <w:r w:rsidR="00CE25B4">
              <w:rPr>
                <w:noProof/>
                <w:webHidden/>
              </w:rPr>
            </w:r>
            <w:r w:rsidR="00CE25B4">
              <w:rPr>
                <w:noProof/>
                <w:webHidden/>
              </w:rPr>
              <w:fldChar w:fldCharType="separate"/>
            </w:r>
            <w:r w:rsidR="004175BB">
              <w:rPr>
                <w:noProof/>
                <w:webHidden/>
              </w:rPr>
              <w:t>5</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1" w:history="1">
            <w:r w:rsidR="00CE25B4" w:rsidRPr="00541AAA">
              <w:rPr>
                <w:rStyle w:val="a3"/>
                <w:rFonts w:cs="Arial"/>
                <w:noProof/>
              </w:rPr>
              <w:t>Диаграмма 2. Средняя удельная цена предложения 1 кв. м. по типам квартир в г. Владивостоке, руб.</w:t>
            </w:r>
            <w:r w:rsidR="00CE25B4">
              <w:rPr>
                <w:noProof/>
                <w:webHidden/>
              </w:rPr>
              <w:tab/>
            </w:r>
            <w:r w:rsidR="00CE25B4">
              <w:rPr>
                <w:noProof/>
                <w:webHidden/>
              </w:rPr>
              <w:fldChar w:fldCharType="begin"/>
            </w:r>
            <w:r w:rsidR="00CE25B4">
              <w:rPr>
                <w:noProof/>
                <w:webHidden/>
              </w:rPr>
              <w:instrText xml:space="preserve"> PAGEREF _Toc445205851 \h </w:instrText>
            </w:r>
            <w:r w:rsidR="00CE25B4">
              <w:rPr>
                <w:noProof/>
                <w:webHidden/>
              </w:rPr>
            </w:r>
            <w:r w:rsidR="00CE25B4">
              <w:rPr>
                <w:noProof/>
                <w:webHidden/>
              </w:rPr>
              <w:fldChar w:fldCharType="separate"/>
            </w:r>
            <w:r w:rsidR="004175BB">
              <w:rPr>
                <w:noProof/>
                <w:webHidden/>
              </w:rPr>
              <w:t>6</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2" w:history="1">
            <w:r w:rsidR="00CE25B4" w:rsidRPr="00541AAA">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CE25B4">
              <w:rPr>
                <w:noProof/>
                <w:webHidden/>
              </w:rPr>
              <w:tab/>
            </w:r>
            <w:r w:rsidR="00CE25B4">
              <w:rPr>
                <w:noProof/>
                <w:webHidden/>
              </w:rPr>
              <w:fldChar w:fldCharType="begin"/>
            </w:r>
            <w:r w:rsidR="00CE25B4">
              <w:rPr>
                <w:noProof/>
                <w:webHidden/>
              </w:rPr>
              <w:instrText xml:space="preserve"> PAGEREF _Toc445205852 \h </w:instrText>
            </w:r>
            <w:r w:rsidR="00CE25B4">
              <w:rPr>
                <w:noProof/>
                <w:webHidden/>
              </w:rPr>
            </w:r>
            <w:r w:rsidR="00CE25B4">
              <w:rPr>
                <w:noProof/>
                <w:webHidden/>
              </w:rPr>
              <w:fldChar w:fldCharType="separate"/>
            </w:r>
            <w:r w:rsidR="004175BB">
              <w:rPr>
                <w:noProof/>
                <w:webHidden/>
              </w:rPr>
              <w:t>6</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3" w:history="1">
            <w:r w:rsidR="00CE25B4" w:rsidRPr="00541AAA">
              <w:rPr>
                <w:rStyle w:val="a3"/>
                <w:rFonts w:cs="Arial"/>
                <w:noProof/>
              </w:rPr>
              <w:t>Диаграмма 4. Средняя удельная цена  за 1 кв. м. в зависимости от материала стен в г. Владивостоке, руб./кв.м.</w:t>
            </w:r>
            <w:r w:rsidR="00CE25B4">
              <w:rPr>
                <w:noProof/>
                <w:webHidden/>
              </w:rPr>
              <w:tab/>
            </w:r>
            <w:r w:rsidR="00CE25B4">
              <w:rPr>
                <w:noProof/>
                <w:webHidden/>
              </w:rPr>
              <w:fldChar w:fldCharType="begin"/>
            </w:r>
            <w:r w:rsidR="00CE25B4">
              <w:rPr>
                <w:noProof/>
                <w:webHidden/>
              </w:rPr>
              <w:instrText xml:space="preserve"> PAGEREF _Toc445205853 \h </w:instrText>
            </w:r>
            <w:r w:rsidR="00CE25B4">
              <w:rPr>
                <w:noProof/>
                <w:webHidden/>
              </w:rPr>
            </w:r>
            <w:r w:rsidR="00CE25B4">
              <w:rPr>
                <w:noProof/>
                <w:webHidden/>
              </w:rPr>
              <w:fldChar w:fldCharType="separate"/>
            </w:r>
            <w:r w:rsidR="004175BB">
              <w:rPr>
                <w:noProof/>
                <w:webHidden/>
              </w:rPr>
              <w:t>6</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4" w:history="1">
            <w:r w:rsidR="00CE25B4" w:rsidRPr="00541AAA">
              <w:rPr>
                <w:rStyle w:val="a3"/>
                <w:rFonts w:cs="Arial"/>
                <w:noProof/>
              </w:rPr>
              <w:t>Диаграмма 5. Средняя удельная цена предложения за 1 кв. м. по районам в г. Владивостоке, руб./кв.м.</w:t>
            </w:r>
            <w:r w:rsidR="00CE25B4">
              <w:rPr>
                <w:noProof/>
                <w:webHidden/>
              </w:rPr>
              <w:tab/>
            </w:r>
            <w:r w:rsidR="00CE25B4">
              <w:rPr>
                <w:noProof/>
                <w:webHidden/>
              </w:rPr>
              <w:fldChar w:fldCharType="begin"/>
            </w:r>
            <w:r w:rsidR="00CE25B4">
              <w:rPr>
                <w:noProof/>
                <w:webHidden/>
              </w:rPr>
              <w:instrText xml:space="preserve"> PAGEREF _Toc445205854 \h </w:instrText>
            </w:r>
            <w:r w:rsidR="00CE25B4">
              <w:rPr>
                <w:noProof/>
                <w:webHidden/>
              </w:rPr>
            </w:r>
            <w:r w:rsidR="00CE25B4">
              <w:rPr>
                <w:noProof/>
                <w:webHidden/>
              </w:rPr>
              <w:fldChar w:fldCharType="separate"/>
            </w:r>
            <w:r w:rsidR="004175BB">
              <w:rPr>
                <w:noProof/>
                <w:webHidden/>
              </w:rPr>
              <w:t>7</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5" w:history="1">
            <w:r w:rsidR="00CE25B4" w:rsidRPr="00541AAA">
              <w:rPr>
                <w:rStyle w:val="a3"/>
                <w:rFonts w:cs="Arial"/>
                <w:noProof/>
              </w:rPr>
              <w:t>Таблица 7. Распределение предложения на рынке вторичного жилья по типу домов, штук</w:t>
            </w:r>
            <w:r w:rsidR="00CE25B4">
              <w:rPr>
                <w:noProof/>
                <w:webHidden/>
              </w:rPr>
              <w:tab/>
            </w:r>
            <w:r w:rsidR="00CE25B4">
              <w:rPr>
                <w:noProof/>
                <w:webHidden/>
              </w:rPr>
              <w:fldChar w:fldCharType="begin"/>
            </w:r>
            <w:r w:rsidR="00CE25B4">
              <w:rPr>
                <w:noProof/>
                <w:webHidden/>
              </w:rPr>
              <w:instrText xml:space="preserve"> PAGEREF _Toc445205855 \h </w:instrText>
            </w:r>
            <w:r w:rsidR="00CE25B4">
              <w:rPr>
                <w:noProof/>
                <w:webHidden/>
              </w:rPr>
            </w:r>
            <w:r w:rsidR="00CE25B4">
              <w:rPr>
                <w:noProof/>
                <w:webHidden/>
              </w:rPr>
              <w:fldChar w:fldCharType="separate"/>
            </w:r>
            <w:r w:rsidR="004175BB">
              <w:rPr>
                <w:noProof/>
                <w:webHidden/>
              </w:rPr>
              <w:t>7</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6" w:history="1">
            <w:r w:rsidR="00CE25B4" w:rsidRPr="00541AAA">
              <w:rPr>
                <w:rStyle w:val="a3"/>
                <w:rFonts w:cs="Arial"/>
                <w:noProof/>
              </w:rPr>
              <w:t>Диаграмма 5. Отклонение средней удельной цены предложения по г. Владивосток от средних по районам,%</w:t>
            </w:r>
            <w:r w:rsidR="00CE25B4">
              <w:rPr>
                <w:noProof/>
                <w:webHidden/>
              </w:rPr>
              <w:tab/>
            </w:r>
            <w:r w:rsidR="00CE25B4">
              <w:rPr>
                <w:noProof/>
                <w:webHidden/>
              </w:rPr>
              <w:fldChar w:fldCharType="begin"/>
            </w:r>
            <w:r w:rsidR="00CE25B4">
              <w:rPr>
                <w:noProof/>
                <w:webHidden/>
              </w:rPr>
              <w:instrText xml:space="preserve"> PAGEREF _Toc445205856 \h </w:instrText>
            </w:r>
            <w:r w:rsidR="00CE25B4">
              <w:rPr>
                <w:noProof/>
                <w:webHidden/>
              </w:rPr>
            </w:r>
            <w:r w:rsidR="00CE25B4">
              <w:rPr>
                <w:noProof/>
                <w:webHidden/>
              </w:rPr>
              <w:fldChar w:fldCharType="separate"/>
            </w:r>
            <w:r w:rsidR="004175BB">
              <w:rPr>
                <w:noProof/>
                <w:webHidden/>
              </w:rPr>
              <w:t>7</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7" w:history="1">
            <w:r w:rsidR="00CE25B4" w:rsidRPr="00541AAA">
              <w:rPr>
                <w:rStyle w:val="a3"/>
                <w:rFonts w:cs="Arial"/>
                <w:noProof/>
              </w:rPr>
              <w:t>Таблица 8. Средняя удельная цена предложения 1 кв. м. по районам г. Владивостока</w:t>
            </w:r>
            <w:r w:rsidR="00CE25B4">
              <w:rPr>
                <w:noProof/>
                <w:webHidden/>
              </w:rPr>
              <w:tab/>
            </w:r>
            <w:r w:rsidR="00CE25B4">
              <w:rPr>
                <w:noProof/>
                <w:webHidden/>
              </w:rPr>
              <w:fldChar w:fldCharType="begin"/>
            </w:r>
            <w:r w:rsidR="00CE25B4">
              <w:rPr>
                <w:noProof/>
                <w:webHidden/>
              </w:rPr>
              <w:instrText xml:space="preserve"> PAGEREF _Toc445205857 \h </w:instrText>
            </w:r>
            <w:r w:rsidR="00CE25B4">
              <w:rPr>
                <w:noProof/>
                <w:webHidden/>
              </w:rPr>
            </w:r>
            <w:r w:rsidR="00CE25B4">
              <w:rPr>
                <w:noProof/>
                <w:webHidden/>
              </w:rPr>
              <w:fldChar w:fldCharType="separate"/>
            </w:r>
            <w:r w:rsidR="004175BB">
              <w:rPr>
                <w:noProof/>
                <w:webHidden/>
              </w:rPr>
              <w:t>8</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8" w:history="1">
            <w:r w:rsidR="00CE25B4" w:rsidRPr="00541AAA">
              <w:rPr>
                <w:rStyle w:val="a3"/>
                <w:rFonts w:cs="Arial"/>
                <w:noProof/>
              </w:rPr>
              <w:t>Таблицы 9. Средняя удельная цена предложения 1 кв. м. по типам квартир по районам г. Владивостока</w:t>
            </w:r>
            <w:r w:rsidR="00CE25B4">
              <w:rPr>
                <w:noProof/>
                <w:webHidden/>
              </w:rPr>
              <w:tab/>
            </w:r>
            <w:r w:rsidR="00CE25B4">
              <w:rPr>
                <w:noProof/>
                <w:webHidden/>
              </w:rPr>
              <w:fldChar w:fldCharType="begin"/>
            </w:r>
            <w:r w:rsidR="00CE25B4">
              <w:rPr>
                <w:noProof/>
                <w:webHidden/>
              </w:rPr>
              <w:instrText xml:space="preserve"> PAGEREF _Toc445205858 \h </w:instrText>
            </w:r>
            <w:r w:rsidR="00CE25B4">
              <w:rPr>
                <w:noProof/>
                <w:webHidden/>
              </w:rPr>
            </w:r>
            <w:r w:rsidR="00CE25B4">
              <w:rPr>
                <w:noProof/>
                <w:webHidden/>
              </w:rPr>
              <w:fldChar w:fldCharType="separate"/>
            </w:r>
            <w:r w:rsidR="004175BB">
              <w:rPr>
                <w:noProof/>
                <w:webHidden/>
              </w:rPr>
              <w:t>8</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59" w:history="1">
            <w:r w:rsidR="00CE25B4" w:rsidRPr="00541AAA">
              <w:rPr>
                <w:rStyle w:val="a3"/>
                <w:rFonts w:cs="Arial"/>
                <w:noProof/>
                <w:snapToGrid w:val="0"/>
              </w:rPr>
              <w:t>Подготовлен</w:t>
            </w:r>
            <w:r w:rsidR="00CE25B4">
              <w:rPr>
                <w:noProof/>
                <w:webHidden/>
              </w:rPr>
              <w:tab/>
            </w:r>
            <w:r w:rsidR="00CE25B4">
              <w:rPr>
                <w:noProof/>
                <w:webHidden/>
              </w:rPr>
              <w:fldChar w:fldCharType="begin"/>
            </w:r>
            <w:r w:rsidR="00CE25B4">
              <w:rPr>
                <w:noProof/>
                <w:webHidden/>
              </w:rPr>
              <w:instrText xml:space="preserve"> PAGEREF _Toc445205859 \h </w:instrText>
            </w:r>
            <w:r w:rsidR="00CE25B4">
              <w:rPr>
                <w:noProof/>
                <w:webHidden/>
              </w:rPr>
            </w:r>
            <w:r w:rsidR="00CE25B4">
              <w:rPr>
                <w:noProof/>
                <w:webHidden/>
              </w:rPr>
              <w:fldChar w:fldCharType="separate"/>
            </w:r>
            <w:r w:rsidR="004175BB">
              <w:rPr>
                <w:noProof/>
                <w:webHidden/>
              </w:rPr>
              <w:t>13</w:t>
            </w:r>
            <w:r w:rsidR="00CE25B4">
              <w:rPr>
                <w:noProof/>
                <w:webHidden/>
              </w:rPr>
              <w:fldChar w:fldCharType="end"/>
            </w:r>
          </w:hyperlink>
        </w:p>
        <w:p w:rsidR="00CE25B4" w:rsidRDefault="00B61D2B">
          <w:pPr>
            <w:pStyle w:val="24"/>
            <w:rPr>
              <w:rFonts w:asciiTheme="minorHAnsi" w:eastAsiaTheme="minorEastAsia" w:hAnsiTheme="minorHAnsi" w:cstheme="minorBidi"/>
              <w:noProof/>
              <w:sz w:val="22"/>
              <w:szCs w:val="22"/>
            </w:rPr>
          </w:pPr>
          <w:hyperlink w:anchor="_Toc445205860" w:history="1">
            <w:r w:rsidR="00CE25B4" w:rsidRPr="00541AAA">
              <w:rPr>
                <w:rStyle w:val="a3"/>
                <w:rFonts w:cs="Arial"/>
                <w:noProof/>
                <w:snapToGrid w:val="0"/>
              </w:rPr>
              <w:t>Материалы и методологии.</w:t>
            </w:r>
            <w:r w:rsidR="00CE25B4">
              <w:rPr>
                <w:noProof/>
                <w:webHidden/>
              </w:rPr>
              <w:tab/>
            </w:r>
            <w:r w:rsidR="00CE25B4">
              <w:rPr>
                <w:noProof/>
                <w:webHidden/>
              </w:rPr>
              <w:fldChar w:fldCharType="begin"/>
            </w:r>
            <w:r w:rsidR="00CE25B4">
              <w:rPr>
                <w:noProof/>
                <w:webHidden/>
              </w:rPr>
              <w:instrText xml:space="preserve"> PAGEREF _Toc445205860 \h </w:instrText>
            </w:r>
            <w:r w:rsidR="00CE25B4">
              <w:rPr>
                <w:noProof/>
                <w:webHidden/>
              </w:rPr>
            </w:r>
            <w:r w:rsidR="00CE25B4">
              <w:rPr>
                <w:noProof/>
                <w:webHidden/>
              </w:rPr>
              <w:fldChar w:fldCharType="separate"/>
            </w:r>
            <w:r w:rsidR="004175BB">
              <w:rPr>
                <w:noProof/>
                <w:webHidden/>
              </w:rPr>
              <w:t>13</w:t>
            </w:r>
            <w:r w:rsidR="00CE25B4">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1" w:name="_Toc445205842"/>
      <w:r w:rsidRPr="008121EF">
        <w:rPr>
          <w:rFonts w:ascii="Arial" w:hAnsi="Arial" w:cs="Arial"/>
          <w:snapToGrid w:val="0"/>
          <w:sz w:val="20"/>
          <w:szCs w:val="20"/>
        </w:rPr>
        <w:lastRenderedPageBreak/>
        <w:t>Введение</w:t>
      </w:r>
      <w:bookmarkEnd w:id="1"/>
    </w:p>
    <w:p w:rsidR="008A782A" w:rsidRDefault="008A782A" w:rsidP="004C4F72">
      <w:pPr>
        <w:pStyle w:val="21"/>
        <w:ind w:firstLine="709"/>
        <w:rPr>
          <w:rFonts w:cs="Arial"/>
          <w:b w:val="0"/>
          <w:snapToGrid w:val="0"/>
          <w:sz w:val="20"/>
        </w:rPr>
      </w:pPr>
    </w:p>
    <w:p w:rsidR="00F32DD9" w:rsidRDefault="00F32DD9" w:rsidP="00F32DD9">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8B0353">
        <w:rPr>
          <w:rFonts w:cs="Arial"/>
          <w:b w:val="0"/>
          <w:snapToGrid w:val="0"/>
          <w:sz w:val="20"/>
        </w:rPr>
        <w:t>Марте</w:t>
      </w:r>
      <w:r>
        <w:rPr>
          <w:rFonts w:cs="Arial"/>
          <w:b w:val="0"/>
          <w:snapToGrid w:val="0"/>
          <w:sz w:val="20"/>
        </w:rPr>
        <w:t xml:space="preserve"> месяце составил </w:t>
      </w:r>
      <w:r w:rsidR="00B61D2B">
        <w:rPr>
          <w:rFonts w:cs="Arial"/>
          <w:b w:val="0"/>
          <w:snapToGrid w:val="0"/>
          <w:sz w:val="20"/>
        </w:rPr>
        <w:t>41.3</w:t>
      </w:r>
      <w:r>
        <w:rPr>
          <w:rFonts w:cs="Arial"/>
          <w:b w:val="0"/>
          <w:snapToGrid w:val="0"/>
          <w:sz w:val="20"/>
        </w:rPr>
        <w:t xml:space="preserve"> млрд. руб., что на </w:t>
      </w:r>
      <w:r w:rsidR="00B61D2B">
        <w:rPr>
          <w:rFonts w:cs="Arial"/>
          <w:b w:val="0"/>
          <w:snapToGrid w:val="0"/>
          <w:sz w:val="20"/>
        </w:rPr>
        <w:t>47,78</w:t>
      </w:r>
      <w:r>
        <w:rPr>
          <w:rFonts w:cs="Arial"/>
          <w:b w:val="0"/>
          <w:snapToGrid w:val="0"/>
          <w:sz w:val="20"/>
        </w:rPr>
        <w:t xml:space="preserve">% </w:t>
      </w:r>
      <w:r w:rsidR="00B61D2B">
        <w:rPr>
          <w:rFonts w:cs="Arial"/>
          <w:b w:val="0"/>
          <w:snapToGrid w:val="0"/>
          <w:sz w:val="20"/>
        </w:rPr>
        <w:t>выше</w:t>
      </w:r>
      <w:r>
        <w:rPr>
          <w:rFonts w:cs="Arial"/>
          <w:b w:val="0"/>
          <w:snapToGrid w:val="0"/>
          <w:sz w:val="20"/>
        </w:rPr>
        <w:t xml:space="preserve"> аналогичного показателя предыдущего месяца</w:t>
      </w:r>
      <w:r w:rsidR="006D1CA4">
        <w:rPr>
          <w:rFonts w:cs="Arial"/>
          <w:b w:val="0"/>
          <w:snapToGrid w:val="0"/>
          <w:sz w:val="20"/>
        </w:rPr>
        <w:t xml:space="preserve"> </w:t>
      </w:r>
      <w:r w:rsidR="00A00184">
        <w:rPr>
          <w:rFonts w:cs="Arial"/>
          <w:b w:val="0"/>
          <w:snapToGrid w:val="0"/>
          <w:sz w:val="20"/>
        </w:rPr>
        <w:t>и,</w:t>
      </w:r>
      <w:r w:rsidR="00B61D2B">
        <w:rPr>
          <w:rFonts w:cs="Arial"/>
          <w:b w:val="0"/>
          <w:snapToGrid w:val="0"/>
          <w:sz w:val="20"/>
        </w:rPr>
        <w:t xml:space="preserve"> по всей </w:t>
      </w:r>
      <w:r w:rsidR="00A00184">
        <w:rPr>
          <w:rFonts w:cs="Arial"/>
          <w:b w:val="0"/>
          <w:snapToGrid w:val="0"/>
          <w:sz w:val="20"/>
        </w:rPr>
        <w:t>видимости,</w:t>
      </w:r>
      <w:r w:rsidR="00B61D2B">
        <w:rPr>
          <w:rFonts w:cs="Arial"/>
          <w:b w:val="0"/>
          <w:snapToGrid w:val="0"/>
          <w:sz w:val="20"/>
        </w:rPr>
        <w:t xml:space="preserve"> это связано с весенним, сезонным ростом рынка</w:t>
      </w:r>
      <w:r>
        <w:rPr>
          <w:rFonts w:cs="Arial"/>
          <w:b w:val="0"/>
          <w:snapToGrid w:val="0"/>
          <w:sz w:val="20"/>
        </w:rPr>
        <w:t xml:space="preserve">. Лидерами среди районов города по количеству предложений в штуках квартир стали: «Вторая речка» – </w:t>
      </w:r>
      <w:r w:rsidR="00B61D2B">
        <w:rPr>
          <w:rFonts w:cs="Arial"/>
          <w:b w:val="0"/>
          <w:snapToGrid w:val="0"/>
          <w:sz w:val="20"/>
        </w:rPr>
        <w:t>999</w:t>
      </w:r>
      <w:r>
        <w:rPr>
          <w:rFonts w:cs="Arial"/>
          <w:b w:val="0"/>
          <w:snapToGrid w:val="0"/>
          <w:sz w:val="20"/>
        </w:rPr>
        <w:t xml:space="preserve">, «Чуркин» - </w:t>
      </w:r>
      <w:r w:rsidR="00B61D2B">
        <w:rPr>
          <w:rFonts w:cs="Arial"/>
          <w:b w:val="0"/>
          <w:snapToGrid w:val="0"/>
          <w:sz w:val="20"/>
        </w:rPr>
        <w:t>96</w:t>
      </w:r>
      <w:r>
        <w:rPr>
          <w:rFonts w:cs="Arial"/>
          <w:b w:val="0"/>
          <w:snapToGrid w:val="0"/>
          <w:sz w:val="20"/>
        </w:rPr>
        <w:t>4, «</w:t>
      </w:r>
      <w:r w:rsidR="00B61D2B">
        <w:rPr>
          <w:rFonts w:cs="Arial"/>
          <w:b w:val="0"/>
          <w:snapToGrid w:val="0"/>
          <w:sz w:val="20"/>
        </w:rPr>
        <w:t>64-71 мкр.</w:t>
      </w:r>
      <w:r>
        <w:rPr>
          <w:rFonts w:cs="Arial"/>
          <w:b w:val="0"/>
          <w:snapToGrid w:val="0"/>
          <w:sz w:val="20"/>
        </w:rPr>
        <w:t xml:space="preserve">» - </w:t>
      </w:r>
      <w:r w:rsidR="00B61D2B">
        <w:rPr>
          <w:rFonts w:cs="Arial"/>
          <w:b w:val="0"/>
          <w:snapToGrid w:val="0"/>
          <w:sz w:val="20"/>
        </w:rPr>
        <w:t>678</w:t>
      </w:r>
      <w:r>
        <w:rPr>
          <w:rFonts w:cs="Arial"/>
          <w:b w:val="0"/>
          <w:snapToGrid w:val="0"/>
          <w:sz w:val="20"/>
        </w:rPr>
        <w:t>.</w:t>
      </w:r>
    </w:p>
    <w:p w:rsidR="00F32DD9" w:rsidRDefault="00F32DD9" w:rsidP="00F32DD9">
      <w:pPr>
        <w:pStyle w:val="21"/>
        <w:rPr>
          <w:rFonts w:cs="Arial"/>
          <w:b w:val="0"/>
          <w:snapToGrid w:val="0"/>
          <w:sz w:val="20"/>
        </w:rPr>
      </w:pPr>
      <w:r>
        <w:rPr>
          <w:rFonts w:cs="Arial"/>
          <w:b w:val="0"/>
          <w:snapToGrid w:val="0"/>
          <w:sz w:val="20"/>
        </w:rPr>
        <w:t>Распределение предложения на рынке по типу квартир: 2</w:t>
      </w:r>
      <w:r w:rsidR="008B0353">
        <w:rPr>
          <w:rFonts w:cs="Arial"/>
          <w:b w:val="0"/>
          <w:snapToGrid w:val="0"/>
          <w:sz w:val="20"/>
        </w:rPr>
        <w:t>4,2</w:t>
      </w:r>
      <w:r>
        <w:rPr>
          <w:rFonts w:cs="Arial"/>
          <w:b w:val="0"/>
          <w:snapToGrid w:val="0"/>
          <w:sz w:val="20"/>
        </w:rPr>
        <w:t>% - 1-комнатные, 2</w:t>
      </w:r>
      <w:r w:rsidR="008B0353">
        <w:rPr>
          <w:rFonts w:cs="Arial"/>
          <w:b w:val="0"/>
          <w:snapToGrid w:val="0"/>
          <w:sz w:val="20"/>
        </w:rPr>
        <w:t>3,93</w:t>
      </w:r>
      <w:r>
        <w:rPr>
          <w:rFonts w:cs="Arial"/>
          <w:b w:val="0"/>
          <w:snapToGrid w:val="0"/>
          <w:sz w:val="20"/>
        </w:rPr>
        <w:t xml:space="preserve">% - 3-комнатные и максимум </w:t>
      </w:r>
      <w:r w:rsidR="008B0353">
        <w:rPr>
          <w:rFonts w:cs="Arial"/>
          <w:b w:val="0"/>
          <w:snapToGrid w:val="0"/>
          <w:sz w:val="20"/>
        </w:rPr>
        <w:t>31,8</w:t>
      </w:r>
      <w:r>
        <w:rPr>
          <w:rFonts w:cs="Arial"/>
          <w:b w:val="0"/>
          <w:snapToGrid w:val="0"/>
          <w:sz w:val="20"/>
        </w:rPr>
        <w:t xml:space="preserve">% - 2 комнатные квартиры, остальное приходится на оставшиеся типы квартир. </w:t>
      </w:r>
    </w:p>
    <w:p w:rsidR="00F32DD9" w:rsidRPr="00EF64F8" w:rsidRDefault="00F32DD9" w:rsidP="00EF64F8">
      <w:pPr>
        <w:ind w:firstLine="708"/>
        <w:jc w:val="both"/>
        <w:rPr>
          <w:rFonts w:cs="Arial"/>
          <w:sz w:val="20"/>
        </w:rPr>
      </w:pPr>
      <w:r w:rsidRPr="00EF64F8">
        <w:rPr>
          <w:rFonts w:cs="Arial"/>
          <w:sz w:val="20"/>
        </w:rPr>
        <w:t xml:space="preserve">В </w:t>
      </w:r>
      <w:r w:rsidR="008B0353" w:rsidRPr="00EF64F8">
        <w:rPr>
          <w:rFonts w:cs="Arial"/>
          <w:sz w:val="20"/>
        </w:rPr>
        <w:t>Марте</w:t>
      </w:r>
      <w:r w:rsidRPr="00EF64F8">
        <w:rPr>
          <w:rFonts w:cs="Arial"/>
          <w:sz w:val="20"/>
        </w:rPr>
        <w:t xml:space="preserve"> 2016 года средняя удельная цена предложения на вторичном рынке многоквартирного жилья г. Владивостока составила </w:t>
      </w:r>
      <w:r w:rsidRPr="006D1CA4">
        <w:rPr>
          <w:rFonts w:cs="Arial"/>
          <w:b/>
          <w:sz w:val="20"/>
        </w:rPr>
        <w:t>9</w:t>
      </w:r>
      <w:r w:rsidR="008B0353" w:rsidRPr="006D1CA4">
        <w:rPr>
          <w:rFonts w:cs="Arial"/>
          <w:b/>
          <w:sz w:val="20"/>
        </w:rPr>
        <w:t>6 929</w:t>
      </w:r>
      <w:r w:rsidRPr="006D1CA4">
        <w:rPr>
          <w:rFonts w:cs="Arial"/>
          <w:b/>
          <w:sz w:val="20"/>
        </w:rPr>
        <w:t xml:space="preserve"> руб./кв.м.</w:t>
      </w:r>
      <w:r w:rsidR="00EF64F8">
        <w:rPr>
          <w:rFonts w:cs="Arial"/>
          <w:sz w:val="20"/>
        </w:rPr>
        <w:t xml:space="preserve"> </w:t>
      </w:r>
      <w:r w:rsidR="00EF64F8" w:rsidRPr="00EF64F8">
        <w:rPr>
          <w:rFonts w:cs="Arial"/>
          <w:sz w:val="20"/>
        </w:rPr>
        <w:t>уменьшение составило 0,44%.</w:t>
      </w:r>
      <w:r w:rsidR="00EF64F8" w:rsidRPr="00EF64F8">
        <w:rPr>
          <w:rFonts w:cs="Arial"/>
          <w:bCs/>
          <w:color w:val="000000"/>
          <w:sz w:val="20"/>
        </w:rPr>
        <w:t xml:space="preserve"> </w:t>
      </w:r>
      <w:r w:rsidRPr="00EF64F8">
        <w:rPr>
          <w:rFonts w:cs="Arial"/>
          <w:sz w:val="20"/>
        </w:rPr>
        <w:t xml:space="preserve"> Индекс роста 1,00. Погрешность в определении среднего составила 0,</w:t>
      </w:r>
      <w:r w:rsidR="008B0353" w:rsidRPr="00EF64F8">
        <w:rPr>
          <w:rFonts w:cs="Arial"/>
          <w:sz w:val="20"/>
        </w:rPr>
        <w:t>51</w:t>
      </w:r>
      <w:r w:rsidRPr="00EF64F8">
        <w:rPr>
          <w:rFonts w:cs="Arial"/>
          <w:sz w:val="20"/>
        </w:rPr>
        <w:t>%. Коэффициент вариации 2</w:t>
      </w:r>
      <w:r w:rsidR="008B0353" w:rsidRPr="00EF64F8">
        <w:rPr>
          <w:rFonts w:cs="Arial"/>
          <w:sz w:val="20"/>
        </w:rPr>
        <w:t>3,63</w:t>
      </w:r>
      <w:r w:rsidRPr="00EF64F8">
        <w:rPr>
          <w:rFonts w:cs="Arial"/>
          <w:sz w:val="20"/>
        </w:rPr>
        <w:t>%. В де</w:t>
      </w:r>
      <w:r w:rsidR="008B0353" w:rsidRPr="00EF64F8">
        <w:rPr>
          <w:rFonts w:cs="Arial"/>
          <w:sz w:val="20"/>
        </w:rPr>
        <w:t>вяти</w:t>
      </w:r>
      <w:r w:rsidRPr="00EF64F8">
        <w:rPr>
          <w:rFonts w:cs="Arial"/>
          <w:sz w:val="20"/>
        </w:rPr>
        <w:t xml:space="preserve"> из 35 районов г. Владивостока отклонение от удельного среднего по городу имеет положительную величину.</w:t>
      </w:r>
      <w:r w:rsidR="00EF64F8">
        <w:rPr>
          <w:rFonts w:cs="Arial"/>
          <w:sz w:val="20"/>
        </w:rPr>
        <w:t xml:space="preserve"> Средняя полная цена предложения составила</w:t>
      </w:r>
      <w:r w:rsidR="00EF64F8" w:rsidRPr="00EF64F8">
        <w:rPr>
          <w:rFonts w:cs="Arial"/>
          <w:sz w:val="20"/>
        </w:rPr>
        <w:t xml:space="preserve"> </w:t>
      </w:r>
      <w:r w:rsidR="00EF64F8" w:rsidRPr="006D1CA4">
        <w:rPr>
          <w:rFonts w:cs="Arial"/>
          <w:b/>
          <w:bCs/>
          <w:color w:val="000000"/>
          <w:sz w:val="20"/>
        </w:rPr>
        <w:t>4 834 527 руб.</w:t>
      </w:r>
    </w:p>
    <w:p w:rsidR="00BB2F24" w:rsidRPr="00606126" w:rsidRDefault="00BB2F24" w:rsidP="00BB2F24">
      <w:pPr>
        <w:pStyle w:val="21"/>
        <w:rPr>
          <w:rFonts w:cs="Arial"/>
          <w:b w:val="0"/>
          <w:sz w:val="20"/>
        </w:rPr>
      </w:pPr>
      <w:r w:rsidRPr="00606126">
        <w:rPr>
          <w:rFonts w:cs="Arial"/>
          <w:b w:val="0"/>
          <w:sz w:val="20"/>
        </w:rPr>
        <w:t xml:space="preserve">Максимальная средняя цена предложения </w:t>
      </w:r>
      <w:r>
        <w:rPr>
          <w:rFonts w:cs="Arial"/>
          <w:b w:val="0"/>
          <w:sz w:val="20"/>
        </w:rPr>
        <w:t>зафиксирована</w:t>
      </w:r>
      <w:r w:rsidRPr="00606126">
        <w:rPr>
          <w:rFonts w:cs="Arial"/>
          <w:b w:val="0"/>
          <w:sz w:val="20"/>
        </w:rPr>
        <w:t xml:space="preserve"> в районе «</w:t>
      </w:r>
      <w:r>
        <w:rPr>
          <w:rFonts w:cs="Arial"/>
          <w:b w:val="0"/>
          <w:sz w:val="20"/>
        </w:rPr>
        <w:t>Первая Речка</w:t>
      </w:r>
      <w:r w:rsidRPr="00606126">
        <w:rPr>
          <w:rFonts w:cs="Arial"/>
          <w:b w:val="0"/>
          <w:sz w:val="20"/>
        </w:rPr>
        <w:t>»</w:t>
      </w:r>
      <w:r>
        <w:rPr>
          <w:rFonts w:cs="Arial"/>
          <w:b w:val="0"/>
          <w:sz w:val="20"/>
        </w:rPr>
        <w:t xml:space="preserve"> - 11</w:t>
      </w:r>
      <w:r w:rsidR="00EF64F8">
        <w:rPr>
          <w:rFonts w:cs="Arial"/>
          <w:b w:val="0"/>
          <w:sz w:val="20"/>
        </w:rPr>
        <w:t>9</w:t>
      </w:r>
      <w:r w:rsidR="006D1CA4">
        <w:rPr>
          <w:rFonts w:cs="Arial"/>
          <w:b w:val="0"/>
          <w:sz w:val="20"/>
        </w:rPr>
        <w:t xml:space="preserve"> </w:t>
      </w:r>
      <w:r w:rsidR="00EF64F8">
        <w:rPr>
          <w:rFonts w:cs="Arial"/>
          <w:b w:val="0"/>
          <w:sz w:val="20"/>
        </w:rPr>
        <w:t>778</w:t>
      </w:r>
      <w:r>
        <w:rPr>
          <w:rFonts w:cs="Arial"/>
          <w:b w:val="0"/>
          <w:sz w:val="20"/>
        </w:rPr>
        <w:t> </w:t>
      </w:r>
      <w:r w:rsidRPr="00606126">
        <w:rPr>
          <w:rFonts w:cs="Arial"/>
          <w:b w:val="0"/>
          <w:sz w:val="20"/>
        </w:rPr>
        <w:t xml:space="preserve">руб./кв.м., минимальная в </w:t>
      </w:r>
      <w:r>
        <w:rPr>
          <w:rFonts w:cs="Arial"/>
          <w:b w:val="0"/>
          <w:sz w:val="20"/>
        </w:rPr>
        <w:t>районе «о. </w:t>
      </w:r>
      <w:r w:rsidR="00EF64F8">
        <w:rPr>
          <w:rFonts w:cs="Arial"/>
          <w:b w:val="0"/>
          <w:sz w:val="20"/>
        </w:rPr>
        <w:t>Попова</w:t>
      </w:r>
      <w:r>
        <w:rPr>
          <w:rFonts w:cs="Arial"/>
          <w:b w:val="0"/>
          <w:sz w:val="20"/>
        </w:rPr>
        <w:t xml:space="preserve">» - </w:t>
      </w:r>
      <w:r w:rsidR="00EF64F8">
        <w:rPr>
          <w:rFonts w:cs="Arial"/>
          <w:b w:val="0"/>
          <w:sz w:val="20"/>
        </w:rPr>
        <w:t>43</w:t>
      </w:r>
      <w:r w:rsidR="006D1CA4">
        <w:rPr>
          <w:rFonts w:cs="Arial"/>
          <w:b w:val="0"/>
          <w:sz w:val="20"/>
        </w:rPr>
        <w:t xml:space="preserve"> </w:t>
      </w:r>
      <w:r w:rsidR="00EF64F8">
        <w:rPr>
          <w:rFonts w:cs="Arial"/>
          <w:b w:val="0"/>
          <w:sz w:val="20"/>
        </w:rPr>
        <w:t>210</w:t>
      </w:r>
      <w:r w:rsidRPr="00606126">
        <w:rPr>
          <w:rFonts w:cs="Arial"/>
          <w:b w:val="0"/>
          <w:sz w:val="20"/>
        </w:rPr>
        <w:t xml:space="preserve"> руб./кв.м. </w:t>
      </w:r>
    </w:p>
    <w:p w:rsidR="00BB2F24" w:rsidRPr="00606126" w:rsidRDefault="00BB2F24" w:rsidP="00BB2F24">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Pr>
          <w:rFonts w:cs="Arial"/>
          <w:b w:val="0"/>
          <w:sz w:val="20"/>
        </w:rPr>
        <w:t>9</w:t>
      </w:r>
      <w:r w:rsidR="00EF64F8">
        <w:rPr>
          <w:rFonts w:cs="Arial"/>
          <w:b w:val="0"/>
          <w:sz w:val="20"/>
        </w:rPr>
        <w:t>8 303</w:t>
      </w:r>
      <w:r w:rsidRPr="00606126">
        <w:rPr>
          <w:rFonts w:cs="Arial"/>
          <w:b w:val="0"/>
          <w:sz w:val="20"/>
        </w:rPr>
        <w:t xml:space="preserve"> руб., на последних этажах </w:t>
      </w:r>
      <w:r>
        <w:rPr>
          <w:rFonts w:cs="Arial"/>
          <w:b w:val="0"/>
          <w:sz w:val="20"/>
        </w:rPr>
        <w:t>9</w:t>
      </w:r>
      <w:r w:rsidR="00EF64F8">
        <w:rPr>
          <w:rFonts w:cs="Arial"/>
          <w:b w:val="0"/>
          <w:sz w:val="20"/>
        </w:rPr>
        <w:t>5 14</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EF64F8">
        <w:rPr>
          <w:rFonts w:cs="Arial"/>
          <w:b w:val="0"/>
          <w:sz w:val="20"/>
        </w:rPr>
        <w:t>89 494</w:t>
      </w:r>
      <w:r w:rsidRPr="00606126">
        <w:rPr>
          <w:rFonts w:cs="Arial"/>
          <w:b w:val="0"/>
          <w:sz w:val="20"/>
        </w:rPr>
        <w:t xml:space="preserve"> руб.</w:t>
      </w:r>
    </w:p>
    <w:p w:rsidR="00BB2F24" w:rsidRPr="00606126" w:rsidRDefault="00BB2F24" w:rsidP="00BB2F24">
      <w:pPr>
        <w:pStyle w:val="21"/>
        <w:rPr>
          <w:rFonts w:cs="Arial"/>
          <w:b w:val="0"/>
          <w:sz w:val="20"/>
        </w:rPr>
      </w:pPr>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Pr>
          <w:rFonts w:cs="Arial"/>
          <w:b w:val="0"/>
          <w:sz w:val="20"/>
        </w:rPr>
        <w:t>10</w:t>
      </w:r>
      <w:r w:rsidR="00EF64F8">
        <w:rPr>
          <w:rFonts w:cs="Arial"/>
          <w:b w:val="0"/>
          <w:sz w:val="20"/>
        </w:rPr>
        <w:t>0</w:t>
      </w:r>
      <w:r>
        <w:rPr>
          <w:rFonts w:cs="Arial"/>
          <w:b w:val="0"/>
          <w:sz w:val="20"/>
        </w:rPr>
        <w:t xml:space="preserve"> 0</w:t>
      </w:r>
      <w:r w:rsidR="00EF64F8">
        <w:rPr>
          <w:rFonts w:cs="Arial"/>
          <w:b w:val="0"/>
          <w:sz w:val="20"/>
        </w:rPr>
        <w:t>63</w:t>
      </w:r>
      <w:r w:rsidRPr="00606126">
        <w:rPr>
          <w:rFonts w:cs="Arial"/>
          <w:b w:val="0"/>
          <w:sz w:val="20"/>
        </w:rPr>
        <w:t xml:space="preserve"> руб., в панельных </w:t>
      </w:r>
      <w:r>
        <w:rPr>
          <w:rFonts w:cs="Arial"/>
          <w:b w:val="0"/>
          <w:sz w:val="20"/>
        </w:rPr>
        <w:t xml:space="preserve">– </w:t>
      </w:r>
      <w:r w:rsidRPr="00606126">
        <w:rPr>
          <w:rFonts w:cs="Arial"/>
          <w:b w:val="0"/>
          <w:sz w:val="20"/>
        </w:rPr>
        <w:t>9</w:t>
      </w:r>
      <w:r>
        <w:rPr>
          <w:rFonts w:cs="Arial"/>
          <w:b w:val="0"/>
          <w:sz w:val="20"/>
        </w:rPr>
        <w:t>4 0</w:t>
      </w:r>
      <w:r w:rsidR="00EF64F8">
        <w:rPr>
          <w:rFonts w:cs="Arial"/>
          <w:b w:val="0"/>
          <w:sz w:val="20"/>
        </w:rPr>
        <w:t>07</w:t>
      </w:r>
      <w:r>
        <w:rPr>
          <w:rFonts w:cs="Arial"/>
          <w:b w:val="0"/>
          <w:sz w:val="20"/>
        </w:rPr>
        <w:t xml:space="preserve"> руб., в деревянных – 6</w:t>
      </w:r>
      <w:r w:rsidR="00EF64F8">
        <w:rPr>
          <w:rFonts w:cs="Arial"/>
          <w:b w:val="0"/>
          <w:sz w:val="20"/>
        </w:rPr>
        <w:t>7 723</w:t>
      </w:r>
      <w:r>
        <w:rPr>
          <w:rFonts w:cs="Arial"/>
          <w:b w:val="0"/>
          <w:sz w:val="20"/>
        </w:rPr>
        <w:t xml:space="preserve"> руб./кв.м.</w:t>
      </w:r>
    </w:p>
    <w:p w:rsidR="00F32DD9" w:rsidRPr="008121EF" w:rsidRDefault="00F32DD9" w:rsidP="008A782A">
      <w:pPr>
        <w:pStyle w:val="2"/>
        <w:rPr>
          <w:rFonts w:ascii="Arial" w:hAnsi="Arial" w:cs="Arial"/>
          <w:sz w:val="20"/>
          <w:szCs w:val="20"/>
        </w:rPr>
      </w:pPr>
      <w:bookmarkStart w:id="2" w:name="_Toc445205843"/>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F32DD9" w:rsidRDefault="00EF64F8" w:rsidP="00F32DD9">
      <w:pPr>
        <w:pStyle w:val="21"/>
        <w:ind w:firstLine="0"/>
        <w:rPr>
          <w:rFonts w:cs="Arial"/>
          <w:b w:val="0"/>
          <w:sz w:val="20"/>
        </w:rPr>
      </w:pPr>
      <w:r>
        <w:rPr>
          <w:noProof/>
        </w:rPr>
        <w:drawing>
          <wp:inline distT="0" distB="0" distL="0" distR="0" wp14:anchorId="2F185C73" wp14:editId="6CAECBC3">
            <wp:extent cx="5940425" cy="3116439"/>
            <wp:effectExtent l="0" t="0" r="2222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445205844"/>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C9754D" w:rsidRDefault="00522464" w:rsidP="00A55BCD">
            <w:pPr>
              <w:jc w:val="center"/>
              <w:rPr>
                <w:rFonts w:cs="Arial"/>
                <w:b/>
                <w:color w:val="000000"/>
                <w:sz w:val="20"/>
                <w:lang w:val="en-US"/>
              </w:rPr>
            </w:pPr>
            <w:r>
              <w:rPr>
                <w:rFonts w:cs="Arial"/>
                <w:b/>
                <w:bCs/>
                <w:color w:val="000000"/>
                <w:sz w:val="20"/>
              </w:rPr>
              <w:t>96 929</w:t>
            </w:r>
          </w:p>
        </w:tc>
      </w:tr>
    </w:tbl>
    <w:p w:rsidR="00F32DD9" w:rsidRPr="008A782A" w:rsidRDefault="00F32DD9" w:rsidP="008A782A">
      <w:pPr>
        <w:pStyle w:val="2"/>
        <w:rPr>
          <w:rFonts w:ascii="Arial" w:hAnsi="Arial" w:cs="Arial"/>
          <w:sz w:val="20"/>
          <w:szCs w:val="20"/>
        </w:rPr>
      </w:pPr>
      <w:bookmarkStart w:id="4" w:name="_Toc445205845"/>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444" w:type="dxa"/>
        <w:jc w:val="center"/>
        <w:tblLook w:val="04A0" w:firstRow="1" w:lastRow="0" w:firstColumn="1" w:lastColumn="0" w:noHBand="0" w:noVBand="1"/>
      </w:tblPr>
      <w:tblGrid>
        <w:gridCol w:w="3290"/>
        <w:gridCol w:w="2154"/>
      </w:tblGrid>
      <w:tr w:rsidR="00F32DD9" w:rsidRPr="00E0625A" w:rsidTr="00C64D7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32DD9" w:rsidRPr="00B0013C" w:rsidRDefault="00F32DD9" w:rsidP="00C64D7C">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Средняя цена</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C9754D" w:rsidP="00C9754D">
            <w:pPr>
              <w:jc w:val="center"/>
              <w:rPr>
                <w:rFonts w:cs="Arial"/>
                <w:b/>
                <w:bCs/>
                <w:color w:val="000000"/>
                <w:sz w:val="20"/>
              </w:rPr>
            </w:pPr>
            <w:r>
              <w:rPr>
                <w:rFonts w:cs="Arial"/>
                <w:b/>
                <w:bCs/>
                <w:color w:val="000000"/>
                <w:sz w:val="20"/>
              </w:rPr>
              <w:t>67 723</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C9754D" w:rsidP="00C9754D">
            <w:pPr>
              <w:jc w:val="center"/>
              <w:rPr>
                <w:rFonts w:cs="Arial"/>
                <w:b/>
                <w:bCs/>
                <w:color w:val="000000"/>
                <w:sz w:val="20"/>
              </w:rPr>
            </w:pPr>
            <w:r>
              <w:rPr>
                <w:rFonts w:cs="Arial"/>
                <w:b/>
                <w:bCs/>
                <w:color w:val="000000"/>
                <w:sz w:val="20"/>
              </w:rPr>
              <w:t>100 063</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Панель ж/б</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C9754D" w:rsidP="00C9754D">
            <w:pPr>
              <w:jc w:val="center"/>
              <w:rPr>
                <w:rFonts w:cs="Arial"/>
                <w:b/>
                <w:bCs/>
                <w:color w:val="000000"/>
                <w:sz w:val="20"/>
              </w:rPr>
            </w:pPr>
            <w:r>
              <w:rPr>
                <w:rFonts w:cs="Arial"/>
                <w:b/>
                <w:bCs/>
                <w:color w:val="000000"/>
                <w:sz w:val="20"/>
              </w:rPr>
              <w:t>94 007</w:t>
            </w:r>
          </w:p>
        </w:tc>
      </w:tr>
    </w:tbl>
    <w:p w:rsidR="00F32DD9" w:rsidRPr="008A782A" w:rsidRDefault="00F32DD9" w:rsidP="008A782A">
      <w:pPr>
        <w:pStyle w:val="2"/>
        <w:rPr>
          <w:rFonts w:ascii="Arial" w:hAnsi="Arial" w:cs="Arial"/>
          <w:sz w:val="20"/>
          <w:szCs w:val="20"/>
        </w:rPr>
      </w:pPr>
      <w:bookmarkStart w:id="5" w:name="_Toc445205846"/>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bookmarkEnd w:id="5"/>
    </w:p>
    <w:tbl>
      <w:tblPr>
        <w:tblW w:w="4109" w:type="dxa"/>
        <w:jc w:val="center"/>
        <w:tblLook w:val="04A0" w:firstRow="1" w:lastRow="0" w:firstColumn="1" w:lastColumn="0" w:noHBand="0" w:noVBand="1"/>
      </w:tblPr>
      <w:tblGrid>
        <w:gridCol w:w="2322"/>
        <w:gridCol w:w="1787"/>
      </w:tblGrid>
      <w:tr w:rsidR="00F32DD9" w:rsidRPr="00E0625A" w:rsidTr="00C64D7C">
        <w:trPr>
          <w:trHeight w:val="170"/>
          <w:jc w:val="center"/>
        </w:trPr>
        <w:tc>
          <w:tcPr>
            <w:tcW w:w="23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Этаж расположения</w:t>
            </w:r>
          </w:p>
        </w:tc>
        <w:tc>
          <w:tcPr>
            <w:tcW w:w="178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Средняя цена</w:t>
            </w:r>
          </w:p>
        </w:tc>
      </w:tr>
      <w:tr w:rsidR="00C9754D" w:rsidRPr="00E0625A" w:rsidTr="00C64D7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C9754D" w:rsidRPr="00E0625A" w:rsidRDefault="00C9754D" w:rsidP="00C64D7C">
            <w:pPr>
              <w:rPr>
                <w:rFonts w:cs="Arial"/>
                <w:bCs/>
                <w:color w:val="000000"/>
                <w:sz w:val="20"/>
              </w:rPr>
            </w:pPr>
            <w:r w:rsidRPr="00E0625A">
              <w:rPr>
                <w:rFonts w:cs="Arial"/>
                <w:bCs/>
                <w:color w:val="000000"/>
                <w:sz w:val="20"/>
              </w:rPr>
              <w:t>Первый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Default="00C9754D">
            <w:pPr>
              <w:jc w:val="center"/>
              <w:rPr>
                <w:rFonts w:cs="Arial"/>
                <w:b/>
                <w:bCs/>
                <w:color w:val="000000"/>
                <w:sz w:val="20"/>
              </w:rPr>
            </w:pPr>
            <w:r>
              <w:rPr>
                <w:rFonts w:cs="Arial"/>
                <w:b/>
                <w:bCs/>
                <w:color w:val="000000"/>
                <w:sz w:val="20"/>
              </w:rPr>
              <w:t>89 494</w:t>
            </w:r>
          </w:p>
        </w:tc>
      </w:tr>
      <w:tr w:rsidR="00C9754D" w:rsidRPr="00E0625A" w:rsidTr="00C64D7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C9754D" w:rsidRPr="00E0625A" w:rsidRDefault="00C9754D" w:rsidP="00C64D7C">
            <w:pPr>
              <w:rPr>
                <w:rFonts w:cs="Arial"/>
                <w:bCs/>
                <w:color w:val="000000"/>
                <w:sz w:val="20"/>
              </w:rPr>
            </w:pPr>
            <w:r w:rsidRPr="00E0625A">
              <w:rPr>
                <w:rFonts w:cs="Arial"/>
                <w:bCs/>
                <w:color w:val="000000"/>
                <w:sz w:val="20"/>
              </w:rPr>
              <w:t>Средний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Default="00C9754D">
            <w:pPr>
              <w:jc w:val="center"/>
              <w:rPr>
                <w:rFonts w:cs="Arial"/>
                <w:b/>
                <w:bCs/>
                <w:color w:val="000000"/>
                <w:sz w:val="20"/>
              </w:rPr>
            </w:pPr>
            <w:r>
              <w:rPr>
                <w:rFonts w:cs="Arial"/>
                <w:b/>
                <w:bCs/>
                <w:color w:val="000000"/>
                <w:sz w:val="20"/>
              </w:rPr>
              <w:t>98 303</w:t>
            </w:r>
          </w:p>
        </w:tc>
      </w:tr>
      <w:tr w:rsidR="00C9754D" w:rsidRPr="00E0625A" w:rsidTr="00C64D7C">
        <w:trPr>
          <w:trHeight w:val="170"/>
          <w:jc w:val="center"/>
        </w:trPr>
        <w:tc>
          <w:tcPr>
            <w:tcW w:w="2322" w:type="dxa"/>
            <w:tcBorders>
              <w:top w:val="nil"/>
              <w:left w:val="single" w:sz="4" w:space="0" w:color="auto"/>
              <w:bottom w:val="single" w:sz="4" w:space="0" w:color="auto"/>
              <w:right w:val="single" w:sz="4" w:space="0" w:color="auto"/>
            </w:tcBorders>
            <w:shd w:val="clear" w:color="auto" w:fill="auto"/>
            <w:noWrap/>
            <w:vAlign w:val="center"/>
            <w:hideMark/>
          </w:tcPr>
          <w:p w:rsidR="00C9754D" w:rsidRPr="00E0625A" w:rsidRDefault="00C9754D" w:rsidP="00C64D7C">
            <w:pPr>
              <w:rPr>
                <w:rFonts w:cs="Arial"/>
                <w:bCs/>
                <w:color w:val="000000"/>
                <w:sz w:val="20"/>
              </w:rPr>
            </w:pPr>
            <w:r w:rsidRPr="00E0625A">
              <w:rPr>
                <w:rFonts w:cs="Arial"/>
                <w:bCs/>
                <w:color w:val="000000"/>
                <w:sz w:val="20"/>
              </w:rPr>
              <w:t>Последний</w:t>
            </w:r>
          </w:p>
        </w:tc>
        <w:tc>
          <w:tcPr>
            <w:tcW w:w="1787"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Default="00C9754D">
            <w:pPr>
              <w:jc w:val="center"/>
              <w:rPr>
                <w:rFonts w:cs="Arial"/>
                <w:b/>
                <w:bCs/>
                <w:color w:val="000000"/>
                <w:sz w:val="20"/>
              </w:rPr>
            </w:pPr>
            <w:r>
              <w:rPr>
                <w:rFonts w:cs="Arial"/>
                <w:b/>
                <w:bCs/>
                <w:color w:val="000000"/>
                <w:sz w:val="20"/>
              </w:rPr>
              <w:t>95 141</w:t>
            </w:r>
          </w:p>
        </w:tc>
      </w:tr>
    </w:tbl>
    <w:p w:rsidR="00F32DD9" w:rsidRPr="008A782A" w:rsidRDefault="00F32DD9" w:rsidP="008A782A">
      <w:pPr>
        <w:pStyle w:val="2"/>
        <w:rPr>
          <w:rFonts w:ascii="Arial" w:hAnsi="Arial" w:cs="Arial"/>
          <w:sz w:val="20"/>
          <w:szCs w:val="20"/>
        </w:rPr>
      </w:pPr>
      <w:bookmarkStart w:id="6" w:name="_Toc445205847"/>
      <w:r w:rsidRPr="008A782A">
        <w:rPr>
          <w:rFonts w:ascii="Arial" w:hAnsi="Arial" w:cs="Arial"/>
          <w:sz w:val="20"/>
          <w:szCs w:val="20"/>
        </w:rPr>
        <w:t>Таблица 4. Средняя удельная цена предложения 1 кв. м. по типам квартир в г. Владивостоке, руб.</w:t>
      </w:r>
      <w:bookmarkEnd w:id="6"/>
    </w:p>
    <w:tbl>
      <w:tblPr>
        <w:tblW w:w="7167" w:type="dxa"/>
        <w:jc w:val="center"/>
        <w:tblLook w:val="04A0" w:firstRow="1" w:lastRow="0" w:firstColumn="1" w:lastColumn="0" w:noHBand="0" w:noVBand="1"/>
      </w:tblPr>
      <w:tblGrid>
        <w:gridCol w:w="2976"/>
        <w:gridCol w:w="1520"/>
        <w:gridCol w:w="1075"/>
        <w:gridCol w:w="1596"/>
      </w:tblGrid>
      <w:tr w:rsidR="00F32DD9" w:rsidRPr="00E7022C" w:rsidTr="00C64D7C">
        <w:trPr>
          <w:trHeight w:val="170"/>
          <w:jc w:val="center"/>
        </w:trPr>
        <w:tc>
          <w:tcPr>
            <w:tcW w:w="29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32DD9" w:rsidRPr="00E7022C" w:rsidRDefault="00F32DD9" w:rsidP="00C64D7C">
            <w:pPr>
              <w:jc w:val="center"/>
              <w:rPr>
                <w:rFonts w:cs="Arial"/>
                <w:color w:val="000000"/>
                <w:sz w:val="20"/>
              </w:rPr>
            </w:pPr>
            <w:r w:rsidRPr="00E7022C">
              <w:rPr>
                <w:rFonts w:cs="Arial"/>
                <w:color w:val="000000"/>
                <w:sz w:val="20"/>
              </w:rPr>
              <w:t>Количество комнат</w:t>
            </w:r>
          </w:p>
        </w:tc>
        <w:tc>
          <w:tcPr>
            <w:tcW w:w="15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E7022C" w:rsidRDefault="00F32DD9" w:rsidP="00C64D7C">
            <w:pPr>
              <w:jc w:val="center"/>
              <w:rPr>
                <w:rFonts w:cs="Arial"/>
                <w:color w:val="000000"/>
                <w:sz w:val="20"/>
              </w:rPr>
            </w:pPr>
            <w:r w:rsidRPr="00E7022C">
              <w:rPr>
                <w:rFonts w:cs="Arial"/>
                <w:color w:val="000000"/>
                <w:sz w:val="20"/>
              </w:rPr>
              <w:t>Минимальная</w:t>
            </w:r>
          </w:p>
        </w:tc>
        <w:tc>
          <w:tcPr>
            <w:tcW w:w="1075"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E7022C" w:rsidRDefault="00F32DD9" w:rsidP="00C64D7C">
            <w:pPr>
              <w:jc w:val="center"/>
              <w:rPr>
                <w:rFonts w:cs="Arial"/>
                <w:b/>
                <w:bCs/>
                <w:color w:val="000000"/>
                <w:sz w:val="20"/>
              </w:rPr>
            </w:pPr>
            <w:r w:rsidRPr="00E7022C">
              <w:rPr>
                <w:rFonts w:cs="Arial"/>
                <w:b/>
                <w:bCs/>
                <w:color w:val="000000"/>
                <w:sz w:val="20"/>
              </w:rPr>
              <w:t>Средняя</w:t>
            </w:r>
          </w:p>
        </w:tc>
        <w:tc>
          <w:tcPr>
            <w:tcW w:w="159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E7022C" w:rsidRDefault="00F32DD9" w:rsidP="00C64D7C">
            <w:pPr>
              <w:jc w:val="center"/>
              <w:rPr>
                <w:rFonts w:cs="Arial"/>
                <w:color w:val="000000"/>
                <w:sz w:val="20"/>
              </w:rPr>
            </w:pPr>
            <w:r w:rsidRPr="00E7022C">
              <w:rPr>
                <w:rFonts w:cs="Arial"/>
                <w:color w:val="000000"/>
                <w:sz w:val="20"/>
              </w:rPr>
              <w:t>Максимальная</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1-комнатная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32 877</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99 216</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196 667</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2-комнатная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19 149</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93 840</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232 558</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3-комнатная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9 672</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90 307</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236 559</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4-комнатная</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14 870</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92 658</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451 091</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5-комнатная и более</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43 182</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96 643</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200 000</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Гостинки</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42 105</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135 930</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491 500</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E7022C" w:rsidRDefault="00C9754D" w:rsidP="00C64D7C">
            <w:pPr>
              <w:jc w:val="center"/>
              <w:rPr>
                <w:rFonts w:cs="Arial"/>
                <w:b/>
                <w:bCs/>
                <w:color w:val="000000"/>
                <w:sz w:val="20"/>
              </w:rPr>
            </w:pPr>
            <w:r w:rsidRPr="00E7022C">
              <w:rPr>
                <w:rFonts w:cs="Arial"/>
                <w:b/>
                <w:bCs/>
                <w:color w:val="000000"/>
                <w:sz w:val="20"/>
              </w:rPr>
              <w:t>Комнаты</w:t>
            </w:r>
          </w:p>
        </w:tc>
        <w:tc>
          <w:tcPr>
            <w:tcW w:w="1520"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14 583</w:t>
            </w:r>
          </w:p>
        </w:tc>
        <w:tc>
          <w:tcPr>
            <w:tcW w:w="1075" w:type="dxa"/>
            <w:tcBorders>
              <w:top w:val="nil"/>
              <w:left w:val="nil"/>
              <w:bottom w:val="single" w:sz="4" w:space="0" w:color="auto"/>
              <w:right w:val="single" w:sz="4" w:space="0" w:color="auto"/>
            </w:tcBorders>
            <w:shd w:val="clear" w:color="auto" w:fill="D6E3BC" w:themeFill="accent3" w:themeFillTint="66"/>
            <w:noWrap/>
            <w:vAlign w:val="center"/>
            <w:hideMark/>
          </w:tcPr>
          <w:p w:rsidR="00C9754D" w:rsidRPr="00C9754D" w:rsidRDefault="00C9754D">
            <w:pPr>
              <w:jc w:val="center"/>
              <w:rPr>
                <w:rFonts w:cs="Arial"/>
                <w:b/>
                <w:bCs/>
                <w:color w:val="000000"/>
                <w:sz w:val="20"/>
              </w:rPr>
            </w:pPr>
            <w:r w:rsidRPr="00C9754D">
              <w:rPr>
                <w:rFonts w:cs="Arial"/>
                <w:b/>
                <w:bCs/>
                <w:color w:val="000000"/>
                <w:sz w:val="20"/>
              </w:rPr>
              <w:t>107 844</w:t>
            </w:r>
          </w:p>
        </w:tc>
        <w:tc>
          <w:tcPr>
            <w:tcW w:w="1596" w:type="dxa"/>
            <w:tcBorders>
              <w:top w:val="nil"/>
              <w:left w:val="nil"/>
              <w:bottom w:val="single" w:sz="4" w:space="0" w:color="auto"/>
              <w:right w:val="single" w:sz="4" w:space="0" w:color="auto"/>
            </w:tcBorders>
            <w:shd w:val="clear" w:color="auto" w:fill="auto"/>
            <w:noWrap/>
            <w:vAlign w:val="center"/>
            <w:hideMark/>
          </w:tcPr>
          <w:p w:rsidR="00C9754D" w:rsidRPr="00C9754D" w:rsidRDefault="00C9754D">
            <w:pPr>
              <w:jc w:val="center"/>
              <w:rPr>
                <w:rFonts w:cs="Arial"/>
                <w:color w:val="000000"/>
                <w:sz w:val="20"/>
              </w:rPr>
            </w:pPr>
            <w:r w:rsidRPr="00C9754D">
              <w:rPr>
                <w:rFonts w:cs="Arial"/>
                <w:color w:val="000000"/>
                <w:sz w:val="20"/>
              </w:rPr>
              <w:t>190 000</w:t>
            </w:r>
          </w:p>
        </w:tc>
      </w:tr>
    </w:tbl>
    <w:p w:rsidR="00F32DD9" w:rsidRPr="008A782A" w:rsidRDefault="00F32DD9" w:rsidP="008A782A">
      <w:pPr>
        <w:pStyle w:val="2"/>
        <w:rPr>
          <w:rFonts w:ascii="Arial" w:hAnsi="Arial" w:cs="Arial"/>
          <w:sz w:val="20"/>
          <w:szCs w:val="20"/>
        </w:rPr>
      </w:pPr>
      <w:bookmarkStart w:id="7" w:name="_Toc445205848"/>
      <w:r w:rsidRPr="008A782A">
        <w:rPr>
          <w:rFonts w:ascii="Arial" w:hAnsi="Arial" w:cs="Arial"/>
          <w:sz w:val="20"/>
          <w:szCs w:val="20"/>
        </w:rPr>
        <w:t>Таблица 5. Распределение рынка по типу квартир, штук</w:t>
      </w:r>
      <w:bookmarkEnd w:id="7"/>
    </w:p>
    <w:tbl>
      <w:tblPr>
        <w:tblW w:w="4496" w:type="dxa"/>
        <w:jc w:val="center"/>
        <w:tblLook w:val="04A0" w:firstRow="1" w:lastRow="0" w:firstColumn="1" w:lastColumn="0" w:noHBand="0" w:noVBand="1"/>
      </w:tblPr>
      <w:tblGrid>
        <w:gridCol w:w="2976"/>
        <w:gridCol w:w="1520"/>
      </w:tblGrid>
      <w:tr w:rsidR="00F32DD9" w:rsidRPr="00E7022C" w:rsidTr="00C64D7C">
        <w:trPr>
          <w:trHeight w:val="170"/>
          <w:jc w:val="center"/>
        </w:trPr>
        <w:tc>
          <w:tcPr>
            <w:tcW w:w="29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F32DD9" w:rsidRPr="00B708F2" w:rsidRDefault="00F32DD9" w:rsidP="00C64D7C">
            <w:pPr>
              <w:jc w:val="center"/>
              <w:rPr>
                <w:rFonts w:cs="Arial"/>
                <w:color w:val="000000"/>
                <w:sz w:val="20"/>
              </w:rPr>
            </w:pPr>
            <w:r w:rsidRPr="00B708F2">
              <w:rPr>
                <w:rFonts w:cs="Arial"/>
                <w:color w:val="000000"/>
                <w:sz w:val="20"/>
              </w:rPr>
              <w:t>Количество комнат</w:t>
            </w:r>
          </w:p>
        </w:tc>
        <w:tc>
          <w:tcPr>
            <w:tcW w:w="15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708F2" w:rsidRDefault="00F32DD9" w:rsidP="00C64D7C">
            <w:pPr>
              <w:jc w:val="center"/>
              <w:rPr>
                <w:rFonts w:cs="Arial"/>
                <w:color w:val="000000"/>
                <w:sz w:val="20"/>
              </w:rPr>
            </w:pPr>
            <w:r w:rsidRPr="00B708F2">
              <w:rPr>
                <w:rFonts w:cs="Arial"/>
                <w:color w:val="000000"/>
                <w:sz w:val="20"/>
              </w:rPr>
              <w:t>Штук</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1-комнатная</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2143</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2-комнатная</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2816</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3-комнатная</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2119</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4-комнатная</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407</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5-комнатная и более</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46</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Гостинки</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15</w:t>
            </w:r>
          </w:p>
        </w:tc>
      </w:tr>
      <w:tr w:rsidR="00C9754D" w:rsidRPr="00E7022C" w:rsidTr="00C64D7C">
        <w:trPr>
          <w:trHeight w:val="170"/>
          <w:jc w:val="center"/>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9754D" w:rsidRPr="00B708F2" w:rsidRDefault="00C9754D" w:rsidP="00C64D7C">
            <w:pPr>
              <w:jc w:val="center"/>
              <w:rPr>
                <w:rFonts w:cs="Arial"/>
                <w:b/>
                <w:bCs/>
                <w:color w:val="000000"/>
                <w:sz w:val="20"/>
              </w:rPr>
            </w:pPr>
            <w:r w:rsidRPr="00B708F2">
              <w:rPr>
                <w:rFonts w:cs="Arial"/>
                <w:b/>
                <w:bCs/>
                <w:color w:val="000000"/>
                <w:sz w:val="20"/>
              </w:rPr>
              <w:t>Комнаты</w:t>
            </w:r>
          </w:p>
        </w:tc>
        <w:tc>
          <w:tcPr>
            <w:tcW w:w="1520" w:type="dxa"/>
            <w:tcBorders>
              <w:top w:val="nil"/>
              <w:left w:val="nil"/>
              <w:bottom w:val="single" w:sz="4" w:space="0" w:color="auto"/>
              <w:right w:val="single" w:sz="4" w:space="0" w:color="auto"/>
            </w:tcBorders>
            <w:shd w:val="clear" w:color="auto" w:fill="auto"/>
            <w:noWrap/>
            <w:vAlign w:val="bottom"/>
            <w:hideMark/>
          </w:tcPr>
          <w:p w:rsidR="00C9754D" w:rsidRPr="00C9754D" w:rsidRDefault="00C9754D">
            <w:pPr>
              <w:jc w:val="right"/>
              <w:rPr>
                <w:rFonts w:cs="Arial"/>
                <w:color w:val="000000"/>
                <w:sz w:val="20"/>
              </w:rPr>
            </w:pPr>
            <w:r w:rsidRPr="00C9754D">
              <w:rPr>
                <w:rFonts w:cs="Arial"/>
                <w:color w:val="000000"/>
                <w:sz w:val="20"/>
              </w:rPr>
              <w:t>1077</w:t>
            </w:r>
          </w:p>
        </w:tc>
      </w:tr>
    </w:tbl>
    <w:p w:rsidR="00CE25B4" w:rsidRPr="008A782A" w:rsidRDefault="00CE25B4" w:rsidP="00CE25B4">
      <w:pPr>
        <w:pStyle w:val="2"/>
        <w:rPr>
          <w:rFonts w:ascii="Arial" w:hAnsi="Arial" w:cs="Arial"/>
          <w:sz w:val="20"/>
          <w:szCs w:val="20"/>
        </w:rPr>
      </w:pPr>
      <w:bookmarkStart w:id="8" w:name="_Toc445205849"/>
      <w:r>
        <w:rPr>
          <w:rFonts w:ascii="Arial" w:hAnsi="Arial" w:cs="Arial"/>
          <w:sz w:val="20"/>
          <w:szCs w:val="20"/>
        </w:rPr>
        <w:t>Диаграмма</w:t>
      </w:r>
      <w:r w:rsidRPr="008A782A">
        <w:rPr>
          <w:rFonts w:ascii="Arial" w:hAnsi="Arial" w:cs="Arial"/>
          <w:sz w:val="20"/>
          <w:szCs w:val="20"/>
        </w:rPr>
        <w:t xml:space="preserve"> </w:t>
      </w:r>
      <w:r>
        <w:rPr>
          <w:rFonts w:ascii="Arial" w:hAnsi="Arial" w:cs="Arial"/>
          <w:sz w:val="20"/>
          <w:szCs w:val="20"/>
        </w:rPr>
        <w:t>2</w:t>
      </w:r>
      <w:r w:rsidRPr="008A782A">
        <w:rPr>
          <w:rFonts w:ascii="Arial" w:hAnsi="Arial" w:cs="Arial"/>
          <w:sz w:val="20"/>
          <w:szCs w:val="20"/>
        </w:rPr>
        <w:t>. Распределение рынка по типу квартир, штук</w:t>
      </w:r>
      <w:bookmarkEnd w:id="8"/>
    </w:p>
    <w:p w:rsidR="00C9754D" w:rsidRDefault="00E75C85" w:rsidP="00F32DD9">
      <w:pPr>
        <w:jc w:val="center"/>
        <w:rPr>
          <w:noProof/>
        </w:rPr>
      </w:pPr>
      <w:r>
        <w:rPr>
          <w:noProof/>
        </w:rPr>
        <w:drawing>
          <wp:inline distT="0" distB="0" distL="0" distR="0" wp14:anchorId="4B21C824" wp14:editId="4D5D8998">
            <wp:extent cx="4790440" cy="2717800"/>
            <wp:effectExtent l="0" t="0" r="10160"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Default="00F32DD9" w:rsidP="00F32DD9">
      <w:pPr>
        <w:jc w:val="center"/>
        <w:rPr>
          <w:rFonts w:cs="Arial"/>
          <w:b/>
          <w:color w:val="000000"/>
          <w:sz w:val="20"/>
        </w:rPr>
      </w:pPr>
      <w:r>
        <w:rPr>
          <w:rFonts w:cs="Arial"/>
          <w:b/>
          <w:color w:val="000000"/>
          <w:sz w:val="20"/>
        </w:rPr>
        <w:br w:type="page"/>
      </w:r>
    </w:p>
    <w:p w:rsidR="00F32DD9" w:rsidRPr="008A782A" w:rsidRDefault="00F32DD9" w:rsidP="008A782A">
      <w:pPr>
        <w:pStyle w:val="2"/>
        <w:rPr>
          <w:rFonts w:ascii="Arial" w:hAnsi="Arial" w:cs="Arial"/>
          <w:sz w:val="20"/>
          <w:szCs w:val="20"/>
        </w:rPr>
      </w:pPr>
      <w:bookmarkStart w:id="9" w:name="_Toc44520585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9"/>
    </w:p>
    <w:tbl>
      <w:tblPr>
        <w:tblW w:w="9594" w:type="dxa"/>
        <w:tblInd w:w="93" w:type="dxa"/>
        <w:tblLook w:val="04A0" w:firstRow="1" w:lastRow="0" w:firstColumn="1" w:lastColumn="0" w:noHBand="0" w:noVBand="1"/>
      </w:tblPr>
      <w:tblGrid>
        <w:gridCol w:w="1601"/>
        <w:gridCol w:w="824"/>
        <w:gridCol w:w="680"/>
        <w:gridCol w:w="740"/>
        <w:gridCol w:w="601"/>
        <w:gridCol w:w="700"/>
        <w:gridCol w:w="1000"/>
        <w:gridCol w:w="597"/>
        <w:gridCol w:w="960"/>
        <w:gridCol w:w="910"/>
        <w:gridCol w:w="981"/>
      </w:tblGrid>
      <w:tr w:rsidR="00F32DD9" w:rsidRPr="00120928" w:rsidTr="006850B6">
        <w:trPr>
          <w:trHeight w:val="170"/>
        </w:trPr>
        <w:tc>
          <w:tcPr>
            <w:tcW w:w="16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Микрорайон</w:t>
            </w:r>
          </w:p>
        </w:tc>
        <w:tc>
          <w:tcPr>
            <w:tcW w:w="824"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1-ком</w:t>
            </w:r>
          </w:p>
        </w:tc>
        <w:tc>
          <w:tcPr>
            <w:tcW w:w="680"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2-ком</w:t>
            </w:r>
          </w:p>
        </w:tc>
        <w:tc>
          <w:tcPr>
            <w:tcW w:w="740"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3-ком</w:t>
            </w:r>
          </w:p>
        </w:tc>
        <w:tc>
          <w:tcPr>
            <w:tcW w:w="601"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4-ком</w:t>
            </w:r>
          </w:p>
        </w:tc>
        <w:tc>
          <w:tcPr>
            <w:tcW w:w="700"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5-ком</w:t>
            </w:r>
          </w:p>
        </w:tc>
        <w:tc>
          <w:tcPr>
            <w:tcW w:w="1000" w:type="dxa"/>
            <w:tcBorders>
              <w:top w:val="single" w:sz="4" w:space="0" w:color="auto"/>
              <w:left w:val="nil"/>
              <w:bottom w:val="single" w:sz="4" w:space="0" w:color="auto"/>
              <w:right w:val="single" w:sz="4" w:space="0" w:color="auto"/>
            </w:tcBorders>
            <w:shd w:val="clear" w:color="DDEBF7" w:fill="DDEBF7"/>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6 ком и более</w:t>
            </w:r>
          </w:p>
        </w:tc>
        <w:tc>
          <w:tcPr>
            <w:tcW w:w="597"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Г-ка</w:t>
            </w:r>
          </w:p>
        </w:tc>
        <w:tc>
          <w:tcPr>
            <w:tcW w:w="960" w:type="dxa"/>
            <w:tcBorders>
              <w:top w:val="single" w:sz="4" w:space="0" w:color="auto"/>
              <w:left w:val="nil"/>
              <w:bottom w:val="single" w:sz="4" w:space="0" w:color="auto"/>
              <w:right w:val="single" w:sz="4" w:space="0" w:color="auto"/>
            </w:tcBorders>
            <w:shd w:val="clear" w:color="DDEBF7" w:fill="DDEBF7"/>
            <w:noWrap/>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Ком-та</w:t>
            </w:r>
          </w:p>
        </w:tc>
        <w:tc>
          <w:tcPr>
            <w:tcW w:w="910" w:type="dxa"/>
            <w:tcBorders>
              <w:top w:val="single" w:sz="4" w:space="0" w:color="auto"/>
              <w:left w:val="nil"/>
              <w:bottom w:val="single" w:sz="4" w:space="0" w:color="auto"/>
              <w:right w:val="single" w:sz="4" w:space="0" w:color="auto"/>
            </w:tcBorders>
            <w:shd w:val="clear" w:color="DDEBF7" w:fill="DDEBF7"/>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Общий</w:t>
            </w:r>
            <w:r w:rsidRPr="009F2A1A">
              <w:rPr>
                <w:rFonts w:cs="Arial"/>
                <w:b/>
                <w:bCs/>
                <w:color w:val="000000"/>
                <w:sz w:val="20"/>
              </w:rPr>
              <w:br/>
              <w:t>итог</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32DD9" w:rsidRPr="009F2A1A" w:rsidRDefault="00F32DD9" w:rsidP="00C64D7C">
            <w:pPr>
              <w:jc w:val="center"/>
              <w:rPr>
                <w:rFonts w:cs="Arial"/>
                <w:b/>
                <w:bCs/>
                <w:color w:val="000000"/>
                <w:sz w:val="20"/>
              </w:rPr>
            </w:pPr>
            <w:r w:rsidRPr="009F2A1A">
              <w:rPr>
                <w:rFonts w:cs="Arial"/>
                <w:b/>
                <w:bCs/>
                <w:color w:val="000000"/>
                <w:sz w:val="20"/>
              </w:rPr>
              <w:t>% от Общего</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6850B6">
            <w:pPr>
              <w:rPr>
                <w:rFonts w:cs="Arial"/>
                <w:b/>
                <w:bCs/>
                <w:color w:val="000000"/>
                <w:sz w:val="20"/>
              </w:rPr>
            </w:pPr>
            <w:r w:rsidRPr="009F2A1A">
              <w:rPr>
                <w:rFonts w:cs="Arial"/>
                <w:b/>
                <w:bCs/>
                <w:color w:val="000000"/>
                <w:sz w:val="20"/>
              </w:rPr>
              <w:t>64, 71 мкр</w:t>
            </w:r>
            <w:r w:rsidR="006850B6">
              <w:rPr>
                <w:rFonts w:cs="Arial"/>
                <w:b/>
                <w:bCs/>
                <w:color w:val="000000"/>
                <w:sz w:val="20"/>
              </w:rPr>
              <w:t>.</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176</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208</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219</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51</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678</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7,77%</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Баляева</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121</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93</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95</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167</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19</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497</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5,69%</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БАМ</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105</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82</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76</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12</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292</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3,35%</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Борисенко</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137</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139</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87</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18</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44</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27</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455</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5,21%</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Весенняя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6</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0,07%</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Вторая речка</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235</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363</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224</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46</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102</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24</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999</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11,44%</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Гайдамак</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24</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15</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82</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0,94%</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Горностай</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7</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0,08%</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Заря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47</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0,54%</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Луговая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62</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101</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62</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16</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264</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3,02%</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Некрасовская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46</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61</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82</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16</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69</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282</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3,23%</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о. Попова</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8</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0,09%</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о. Русский</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12</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29</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12</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53</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0,61%</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Океанская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29</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57</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60</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167</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1,91%</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Патрокл</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23</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21</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54</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0,62%</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Первая речка</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65</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150</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90</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27</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375</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4,30%</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п-ов Песчаный</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0,02%</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Пригород</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17</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25</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17</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61</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0,70%</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Садгород</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19</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30</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15</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69</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0,79%</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Сахарный ключ</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0,02%</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Седанка</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28</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28</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38</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101</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1,16%</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Снеговая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13</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76</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0,87%</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Снеговая падь</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32</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62</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97</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199</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2,28%</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Спутник</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0,06%</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Столетие</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125</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240</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140</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25</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97</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638</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7,31%</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Тихая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84</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118</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44</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85</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13</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349</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4,00%</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Толстого (Буссе)</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28</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36</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31</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106</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1,21%</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Третья рабочая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118</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111</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97</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12</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405</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4,64%</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Трудовая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36</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44</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46</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15</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7</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153</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1,75%</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Трудовое</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45</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51</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39</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7</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169</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1,94%</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Угольная</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7</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16</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35</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0,40%</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Фадеева</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22</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6</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34</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76</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0,87%</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Центр</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115</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197</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171</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46</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11</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577</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6,61%</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Чуркин</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237</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296</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173</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36</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rPr>
                <w:rFonts w:cs="Arial"/>
                <w:color w:val="000000"/>
                <w:sz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w:t>
            </w: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190</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29</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962</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11,02%</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Эгершельд</w:t>
            </w:r>
          </w:p>
        </w:tc>
        <w:tc>
          <w:tcPr>
            <w:tcW w:w="824"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148</w:t>
            </w:r>
          </w:p>
        </w:tc>
        <w:tc>
          <w:tcPr>
            <w:tcW w:w="68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133</w:t>
            </w:r>
          </w:p>
        </w:tc>
        <w:tc>
          <w:tcPr>
            <w:tcW w:w="74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100</w:t>
            </w:r>
          </w:p>
        </w:tc>
        <w:tc>
          <w:tcPr>
            <w:tcW w:w="60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29</w:t>
            </w:r>
          </w:p>
        </w:tc>
        <w:tc>
          <w:tcPr>
            <w:tcW w:w="7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5</w:t>
            </w:r>
          </w:p>
        </w:tc>
        <w:tc>
          <w:tcPr>
            <w:tcW w:w="597"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14</w:t>
            </w:r>
          </w:p>
        </w:tc>
        <w:tc>
          <w:tcPr>
            <w:tcW w:w="910" w:type="dxa"/>
            <w:tcBorders>
              <w:top w:val="nil"/>
              <w:left w:val="nil"/>
              <w:bottom w:val="single" w:sz="4" w:space="0" w:color="auto"/>
              <w:right w:val="single" w:sz="4" w:space="0" w:color="auto"/>
            </w:tcBorders>
            <w:shd w:val="clear" w:color="000000" w:fill="BDD7EE"/>
            <w:noWrap/>
            <w:vAlign w:val="bottom"/>
            <w:hideMark/>
          </w:tcPr>
          <w:p w:rsidR="00167F4F" w:rsidRPr="006850B6" w:rsidRDefault="00167F4F">
            <w:pPr>
              <w:jc w:val="right"/>
              <w:rPr>
                <w:rFonts w:cs="Arial"/>
                <w:color w:val="000000"/>
                <w:sz w:val="20"/>
              </w:rPr>
            </w:pPr>
            <w:r w:rsidRPr="006850B6">
              <w:rPr>
                <w:rFonts w:cs="Arial"/>
                <w:color w:val="000000"/>
                <w:sz w:val="20"/>
              </w:rPr>
              <w:t>478</w:t>
            </w:r>
          </w:p>
        </w:tc>
        <w:tc>
          <w:tcPr>
            <w:tcW w:w="981" w:type="dxa"/>
            <w:tcBorders>
              <w:top w:val="nil"/>
              <w:left w:val="nil"/>
              <w:bottom w:val="single" w:sz="4" w:space="0" w:color="auto"/>
              <w:right w:val="single" w:sz="4" w:space="0" w:color="auto"/>
            </w:tcBorders>
            <w:shd w:val="clear" w:color="auto" w:fill="auto"/>
            <w:vAlign w:val="bottom"/>
            <w:hideMark/>
          </w:tcPr>
          <w:p w:rsidR="00167F4F" w:rsidRPr="006850B6" w:rsidRDefault="00167F4F">
            <w:pPr>
              <w:jc w:val="right"/>
              <w:rPr>
                <w:rFonts w:cs="Arial"/>
                <w:color w:val="000000"/>
                <w:sz w:val="20"/>
              </w:rPr>
            </w:pPr>
            <w:r w:rsidRPr="006850B6">
              <w:rPr>
                <w:rFonts w:cs="Arial"/>
                <w:color w:val="000000"/>
                <w:sz w:val="20"/>
              </w:rPr>
              <w:t>5,48%</w:t>
            </w:r>
          </w:p>
        </w:tc>
      </w:tr>
      <w:tr w:rsidR="00167F4F" w:rsidRPr="00120928" w:rsidTr="006850B6">
        <w:trPr>
          <w:trHeight w:val="170"/>
        </w:trPr>
        <w:tc>
          <w:tcPr>
            <w:tcW w:w="1601" w:type="dxa"/>
            <w:tcBorders>
              <w:top w:val="nil"/>
              <w:left w:val="single" w:sz="4" w:space="0" w:color="auto"/>
              <w:bottom w:val="single" w:sz="4" w:space="0" w:color="auto"/>
              <w:right w:val="single" w:sz="4" w:space="0" w:color="auto"/>
            </w:tcBorders>
            <w:shd w:val="clear" w:color="DDEBF7" w:fill="DDEBF7"/>
            <w:noWrap/>
            <w:vAlign w:val="bottom"/>
            <w:hideMark/>
          </w:tcPr>
          <w:p w:rsidR="00167F4F" w:rsidRPr="009F2A1A" w:rsidRDefault="00167F4F" w:rsidP="00C64D7C">
            <w:pPr>
              <w:rPr>
                <w:rFonts w:cs="Arial"/>
                <w:b/>
                <w:bCs/>
                <w:color w:val="000000"/>
                <w:sz w:val="20"/>
              </w:rPr>
            </w:pPr>
            <w:r w:rsidRPr="009F2A1A">
              <w:rPr>
                <w:rFonts w:cs="Arial"/>
                <w:b/>
                <w:bCs/>
                <w:color w:val="000000"/>
                <w:sz w:val="20"/>
              </w:rPr>
              <w:t>Общий итог</w:t>
            </w:r>
          </w:p>
        </w:tc>
        <w:tc>
          <w:tcPr>
            <w:tcW w:w="824"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rsidP="006850B6">
            <w:pPr>
              <w:rPr>
                <w:rFonts w:cs="Arial"/>
                <w:b/>
                <w:bCs/>
                <w:color w:val="000000"/>
                <w:sz w:val="20"/>
              </w:rPr>
            </w:pPr>
            <w:r w:rsidRPr="006850B6">
              <w:rPr>
                <w:rFonts w:cs="Arial"/>
                <w:b/>
                <w:bCs/>
                <w:color w:val="000000"/>
                <w:sz w:val="20"/>
              </w:rPr>
              <w:t>2 117</w:t>
            </w:r>
          </w:p>
        </w:tc>
        <w:tc>
          <w:tcPr>
            <w:tcW w:w="680" w:type="dxa"/>
            <w:tcBorders>
              <w:top w:val="nil"/>
              <w:left w:val="nil"/>
              <w:bottom w:val="single" w:sz="4" w:space="0" w:color="auto"/>
              <w:right w:val="single" w:sz="4" w:space="0" w:color="auto"/>
            </w:tcBorders>
            <w:shd w:val="clear" w:color="DDEBF7" w:fill="DDEBF7"/>
            <w:noWrap/>
            <w:vAlign w:val="bottom"/>
            <w:hideMark/>
          </w:tcPr>
          <w:p w:rsidR="00167F4F" w:rsidRPr="006850B6" w:rsidRDefault="006850B6" w:rsidP="006850B6">
            <w:pPr>
              <w:ind w:left="-108"/>
              <w:rPr>
                <w:rFonts w:cs="Arial"/>
                <w:b/>
                <w:bCs/>
                <w:color w:val="000000"/>
                <w:sz w:val="20"/>
              </w:rPr>
            </w:pPr>
            <w:r>
              <w:rPr>
                <w:rFonts w:cs="Arial"/>
                <w:b/>
                <w:bCs/>
                <w:color w:val="000000"/>
                <w:sz w:val="20"/>
              </w:rPr>
              <w:t xml:space="preserve">2 </w:t>
            </w:r>
            <w:r w:rsidR="00167F4F" w:rsidRPr="006850B6">
              <w:rPr>
                <w:rFonts w:cs="Arial"/>
                <w:b/>
                <w:bCs/>
                <w:color w:val="000000"/>
                <w:sz w:val="20"/>
              </w:rPr>
              <w:t>777</w:t>
            </w:r>
          </w:p>
        </w:tc>
        <w:tc>
          <w:tcPr>
            <w:tcW w:w="740"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pPr>
              <w:jc w:val="right"/>
              <w:rPr>
                <w:rFonts w:cs="Arial"/>
                <w:b/>
                <w:bCs/>
                <w:color w:val="000000"/>
                <w:sz w:val="20"/>
              </w:rPr>
            </w:pPr>
            <w:r w:rsidRPr="006850B6">
              <w:rPr>
                <w:rFonts w:cs="Arial"/>
                <w:b/>
                <w:bCs/>
                <w:color w:val="000000"/>
                <w:sz w:val="20"/>
              </w:rPr>
              <w:t>2 084</w:t>
            </w:r>
          </w:p>
        </w:tc>
        <w:tc>
          <w:tcPr>
            <w:tcW w:w="601"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pPr>
              <w:jc w:val="right"/>
              <w:rPr>
                <w:rFonts w:cs="Arial"/>
                <w:b/>
                <w:bCs/>
                <w:color w:val="000000"/>
                <w:sz w:val="20"/>
              </w:rPr>
            </w:pPr>
            <w:r w:rsidRPr="006850B6">
              <w:rPr>
                <w:rFonts w:cs="Arial"/>
                <w:b/>
                <w:bCs/>
                <w:color w:val="000000"/>
                <w:sz w:val="20"/>
              </w:rPr>
              <w:t>406</w:t>
            </w:r>
          </w:p>
        </w:tc>
        <w:tc>
          <w:tcPr>
            <w:tcW w:w="700"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pPr>
              <w:jc w:val="right"/>
              <w:rPr>
                <w:rFonts w:cs="Arial"/>
                <w:b/>
                <w:bCs/>
                <w:color w:val="000000"/>
                <w:sz w:val="20"/>
              </w:rPr>
            </w:pPr>
            <w:r w:rsidRPr="006850B6">
              <w:rPr>
                <w:rFonts w:cs="Arial"/>
                <w:b/>
                <w:bCs/>
                <w:color w:val="000000"/>
                <w:sz w:val="20"/>
              </w:rPr>
              <w:t>46</w:t>
            </w:r>
          </w:p>
        </w:tc>
        <w:tc>
          <w:tcPr>
            <w:tcW w:w="1000"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pPr>
              <w:jc w:val="right"/>
              <w:rPr>
                <w:rFonts w:cs="Arial"/>
                <w:b/>
                <w:bCs/>
                <w:color w:val="000000"/>
                <w:sz w:val="20"/>
              </w:rPr>
            </w:pPr>
            <w:r w:rsidRPr="006850B6">
              <w:rPr>
                <w:rFonts w:cs="Arial"/>
                <w:b/>
                <w:bCs/>
                <w:color w:val="000000"/>
                <w:sz w:val="20"/>
              </w:rPr>
              <w:t>15</w:t>
            </w:r>
          </w:p>
        </w:tc>
        <w:tc>
          <w:tcPr>
            <w:tcW w:w="597"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rsidP="006850B6">
            <w:pPr>
              <w:ind w:left="-143"/>
              <w:jc w:val="right"/>
              <w:rPr>
                <w:rFonts w:cs="Arial"/>
                <w:b/>
                <w:bCs/>
                <w:color w:val="000000"/>
                <w:sz w:val="20"/>
              </w:rPr>
            </w:pPr>
            <w:r w:rsidRPr="006850B6">
              <w:rPr>
                <w:rFonts w:cs="Arial"/>
                <w:b/>
                <w:bCs/>
                <w:color w:val="000000"/>
                <w:sz w:val="20"/>
              </w:rPr>
              <w:t>1 055</w:t>
            </w:r>
          </w:p>
        </w:tc>
        <w:tc>
          <w:tcPr>
            <w:tcW w:w="960" w:type="dxa"/>
            <w:tcBorders>
              <w:top w:val="nil"/>
              <w:left w:val="nil"/>
              <w:bottom w:val="single" w:sz="4" w:space="0" w:color="auto"/>
              <w:right w:val="single" w:sz="4" w:space="0" w:color="auto"/>
            </w:tcBorders>
            <w:shd w:val="clear" w:color="DDEBF7" w:fill="DDEBF7"/>
            <w:noWrap/>
            <w:vAlign w:val="bottom"/>
            <w:hideMark/>
          </w:tcPr>
          <w:p w:rsidR="00167F4F" w:rsidRPr="006850B6" w:rsidRDefault="00167F4F">
            <w:pPr>
              <w:jc w:val="right"/>
              <w:rPr>
                <w:rFonts w:cs="Arial"/>
                <w:b/>
                <w:bCs/>
                <w:color w:val="000000"/>
                <w:sz w:val="20"/>
              </w:rPr>
            </w:pPr>
            <w:r w:rsidRPr="006850B6">
              <w:rPr>
                <w:rFonts w:cs="Arial"/>
                <w:b/>
                <w:bCs/>
                <w:color w:val="000000"/>
                <w:sz w:val="20"/>
              </w:rPr>
              <w:t>229</w:t>
            </w:r>
          </w:p>
        </w:tc>
        <w:tc>
          <w:tcPr>
            <w:tcW w:w="910" w:type="dxa"/>
            <w:tcBorders>
              <w:top w:val="nil"/>
              <w:left w:val="nil"/>
              <w:bottom w:val="single" w:sz="4" w:space="0" w:color="auto"/>
              <w:right w:val="single" w:sz="4" w:space="0" w:color="auto"/>
            </w:tcBorders>
            <w:shd w:val="clear" w:color="DDEBF7" w:fill="BDD7EE"/>
            <w:noWrap/>
            <w:vAlign w:val="bottom"/>
            <w:hideMark/>
          </w:tcPr>
          <w:p w:rsidR="00167F4F" w:rsidRPr="006850B6" w:rsidRDefault="00167F4F">
            <w:pPr>
              <w:jc w:val="right"/>
              <w:rPr>
                <w:rFonts w:cs="Arial"/>
                <w:b/>
                <w:bCs/>
                <w:color w:val="000000"/>
                <w:sz w:val="20"/>
              </w:rPr>
            </w:pPr>
            <w:r w:rsidRPr="006850B6">
              <w:rPr>
                <w:rFonts w:cs="Arial"/>
                <w:b/>
                <w:bCs/>
                <w:color w:val="000000"/>
                <w:sz w:val="20"/>
              </w:rPr>
              <w:t>8 729</w:t>
            </w:r>
          </w:p>
        </w:tc>
        <w:tc>
          <w:tcPr>
            <w:tcW w:w="981" w:type="dxa"/>
            <w:tcBorders>
              <w:top w:val="nil"/>
              <w:left w:val="nil"/>
              <w:bottom w:val="single" w:sz="4" w:space="0" w:color="auto"/>
              <w:right w:val="single" w:sz="4" w:space="0" w:color="auto"/>
            </w:tcBorders>
            <w:shd w:val="clear" w:color="auto" w:fill="auto"/>
            <w:noWrap/>
            <w:vAlign w:val="bottom"/>
            <w:hideMark/>
          </w:tcPr>
          <w:p w:rsidR="00167F4F" w:rsidRPr="006850B6" w:rsidRDefault="00167F4F">
            <w:pPr>
              <w:jc w:val="right"/>
              <w:rPr>
                <w:rFonts w:cs="Arial"/>
                <w:color w:val="000000"/>
                <w:sz w:val="20"/>
              </w:rPr>
            </w:pPr>
            <w:r w:rsidRPr="006850B6">
              <w:rPr>
                <w:rFonts w:cs="Arial"/>
                <w:color w:val="000000"/>
                <w:sz w:val="20"/>
              </w:rPr>
              <w:t>100%</w:t>
            </w:r>
          </w:p>
        </w:tc>
      </w:tr>
    </w:tbl>
    <w:p w:rsidR="00F32DD9" w:rsidRDefault="00F32DD9" w:rsidP="00F32DD9">
      <w:pPr>
        <w:pStyle w:val="21"/>
        <w:rPr>
          <w:rFonts w:cs="Arial"/>
          <w:b w:val="0"/>
          <w:sz w:val="20"/>
        </w:rPr>
      </w:pPr>
      <w:r>
        <w:rPr>
          <w:rFonts w:cs="Arial"/>
          <w:b w:val="0"/>
          <w:sz w:val="20"/>
        </w:rPr>
        <w:br w:type="page"/>
      </w:r>
    </w:p>
    <w:p w:rsidR="00F32DD9" w:rsidRPr="008A782A" w:rsidRDefault="00F32DD9" w:rsidP="008A782A">
      <w:pPr>
        <w:pStyle w:val="2"/>
        <w:rPr>
          <w:rFonts w:ascii="Arial" w:hAnsi="Arial" w:cs="Arial"/>
          <w:sz w:val="20"/>
          <w:szCs w:val="20"/>
        </w:rPr>
      </w:pPr>
      <w:bookmarkStart w:id="10" w:name="_Toc44520585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10"/>
    </w:p>
    <w:p w:rsidR="00F32DD9" w:rsidRDefault="006850B6" w:rsidP="00F32DD9">
      <w:pPr>
        <w:jc w:val="center"/>
        <w:rPr>
          <w:noProof/>
        </w:rPr>
      </w:pPr>
      <w:r>
        <w:rPr>
          <w:noProof/>
        </w:rPr>
        <w:drawing>
          <wp:inline distT="0" distB="0" distL="0" distR="0" wp14:anchorId="40C5ECB6" wp14:editId="11AB590F">
            <wp:extent cx="5940425" cy="3101112"/>
            <wp:effectExtent l="0" t="0" r="22225" b="234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2DD9" w:rsidRPr="008A782A" w:rsidRDefault="00F32DD9" w:rsidP="008A782A">
      <w:pPr>
        <w:pStyle w:val="2"/>
        <w:rPr>
          <w:rFonts w:ascii="Arial" w:hAnsi="Arial" w:cs="Arial"/>
          <w:sz w:val="20"/>
          <w:szCs w:val="20"/>
        </w:rPr>
      </w:pPr>
      <w:bookmarkStart w:id="11" w:name="_Toc44520585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1"/>
    </w:p>
    <w:p w:rsidR="00F32DD9" w:rsidRPr="00606126" w:rsidRDefault="00F32DD9" w:rsidP="00F32DD9">
      <w:pPr>
        <w:jc w:val="center"/>
        <w:rPr>
          <w:rFonts w:cs="Arial"/>
          <w:b/>
          <w:sz w:val="20"/>
        </w:rPr>
      </w:pPr>
    </w:p>
    <w:p w:rsidR="00F32DD9" w:rsidRDefault="006850B6" w:rsidP="00901795">
      <w:pPr>
        <w:jc w:val="center"/>
        <w:rPr>
          <w:rFonts w:cs="Arial"/>
          <w:b/>
          <w:sz w:val="20"/>
        </w:rPr>
      </w:pPr>
      <w:r>
        <w:rPr>
          <w:noProof/>
        </w:rPr>
        <w:drawing>
          <wp:inline distT="0" distB="0" distL="0" distR="0" wp14:anchorId="095D49B8" wp14:editId="6D3F9F2C">
            <wp:extent cx="5161280" cy="2194560"/>
            <wp:effectExtent l="0" t="0" r="2032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2DD9" w:rsidRPr="008A782A" w:rsidRDefault="00F32DD9" w:rsidP="008A782A">
      <w:pPr>
        <w:pStyle w:val="2"/>
        <w:rPr>
          <w:rFonts w:ascii="Arial" w:hAnsi="Arial" w:cs="Arial"/>
          <w:sz w:val="20"/>
          <w:szCs w:val="20"/>
        </w:rPr>
      </w:pPr>
      <w:bookmarkStart w:id="12" w:name="_Toc44520585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2"/>
    </w:p>
    <w:p w:rsidR="006850B6" w:rsidRDefault="006850B6" w:rsidP="008A782A">
      <w:pPr>
        <w:jc w:val="center"/>
        <w:rPr>
          <w:rFonts w:cs="Arial"/>
          <w:sz w:val="20"/>
        </w:rPr>
      </w:pPr>
      <w:r>
        <w:rPr>
          <w:noProof/>
        </w:rPr>
        <w:drawing>
          <wp:inline distT="0" distB="0" distL="0" distR="0" wp14:anchorId="49AA7C1A" wp14:editId="1A512329">
            <wp:extent cx="5369560" cy="1935480"/>
            <wp:effectExtent l="0" t="0" r="2159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2DD9" w:rsidRDefault="00F32DD9" w:rsidP="008A782A">
      <w:pPr>
        <w:jc w:val="center"/>
        <w:rPr>
          <w:rFonts w:cs="Arial"/>
          <w:sz w:val="20"/>
        </w:rPr>
      </w:pPr>
      <w:r>
        <w:rPr>
          <w:rFonts w:cs="Arial"/>
          <w:sz w:val="20"/>
        </w:rPr>
        <w:br w:type="page"/>
      </w:r>
    </w:p>
    <w:p w:rsidR="00F32DD9" w:rsidRPr="008A782A" w:rsidRDefault="00F32DD9" w:rsidP="008A782A">
      <w:pPr>
        <w:pStyle w:val="2"/>
        <w:rPr>
          <w:rFonts w:ascii="Arial" w:hAnsi="Arial" w:cs="Arial"/>
          <w:sz w:val="20"/>
          <w:szCs w:val="20"/>
        </w:rPr>
      </w:pPr>
      <w:bookmarkStart w:id="13" w:name="_Toc445205854"/>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3"/>
    </w:p>
    <w:p w:rsidR="00F32DD9" w:rsidRDefault="006850B6" w:rsidP="00F32DD9">
      <w:pPr>
        <w:rPr>
          <w:rFonts w:cs="Arial"/>
          <w:sz w:val="20"/>
        </w:rPr>
      </w:pPr>
      <w:r>
        <w:rPr>
          <w:noProof/>
        </w:rPr>
        <w:drawing>
          <wp:inline distT="0" distB="0" distL="0" distR="0" wp14:anchorId="4C259C09" wp14:editId="1A51B04E">
            <wp:extent cx="5940425" cy="2894493"/>
            <wp:effectExtent l="0" t="0" r="22225" b="203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2DD9" w:rsidRPr="008A782A" w:rsidRDefault="00F32DD9" w:rsidP="008A782A">
      <w:pPr>
        <w:pStyle w:val="2"/>
        <w:rPr>
          <w:rFonts w:ascii="Arial" w:hAnsi="Arial" w:cs="Arial"/>
          <w:sz w:val="20"/>
          <w:szCs w:val="20"/>
        </w:rPr>
      </w:pPr>
      <w:bookmarkStart w:id="14" w:name="_Toc445205855"/>
      <w:r w:rsidRPr="008A782A">
        <w:rPr>
          <w:rFonts w:ascii="Arial" w:hAnsi="Arial" w:cs="Arial"/>
          <w:sz w:val="20"/>
          <w:szCs w:val="20"/>
        </w:rPr>
        <w:t xml:space="preserve">Таблица 7. Распределение </w:t>
      </w:r>
      <w:r w:rsidR="009F2A1A" w:rsidRPr="008A782A">
        <w:rPr>
          <w:rFonts w:ascii="Arial" w:hAnsi="Arial" w:cs="Arial"/>
          <w:sz w:val="20"/>
          <w:szCs w:val="20"/>
        </w:rPr>
        <w:t xml:space="preserve">предложения </w:t>
      </w:r>
      <w:r w:rsidRPr="008A782A">
        <w:rPr>
          <w:rFonts w:ascii="Arial" w:hAnsi="Arial" w:cs="Arial"/>
          <w:sz w:val="20"/>
          <w:szCs w:val="20"/>
        </w:rPr>
        <w:t xml:space="preserve">на рынке </w:t>
      </w:r>
      <w:r w:rsidR="009F2A1A">
        <w:rPr>
          <w:rFonts w:ascii="Arial" w:hAnsi="Arial" w:cs="Arial"/>
          <w:sz w:val="20"/>
          <w:szCs w:val="20"/>
        </w:rPr>
        <w:t xml:space="preserve">вторичного жилья </w:t>
      </w:r>
      <w:r w:rsidRPr="008A782A">
        <w:rPr>
          <w:rFonts w:ascii="Arial" w:hAnsi="Arial" w:cs="Arial"/>
          <w:sz w:val="20"/>
          <w:szCs w:val="20"/>
        </w:rPr>
        <w:t>по типу домов, штук</w:t>
      </w:r>
      <w:bookmarkEnd w:id="14"/>
    </w:p>
    <w:tbl>
      <w:tblPr>
        <w:tblW w:w="7598" w:type="dxa"/>
        <w:jc w:val="center"/>
        <w:tblLook w:val="04A0" w:firstRow="1" w:lastRow="0" w:firstColumn="1" w:lastColumn="0" w:noHBand="0" w:noVBand="1"/>
      </w:tblPr>
      <w:tblGrid>
        <w:gridCol w:w="3290"/>
        <w:gridCol w:w="2154"/>
        <w:gridCol w:w="2154"/>
      </w:tblGrid>
      <w:tr w:rsidR="00F32DD9" w:rsidRPr="00E0625A" w:rsidTr="00C64D7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32DD9" w:rsidRPr="00B0013C" w:rsidRDefault="00F32DD9" w:rsidP="00C64D7C">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Pr>
                <w:rFonts w:cs="Arial"/>
                <w:bCs/>
                <w:color w:val="000000"/>
                <w:sz w:val="20"/>
              </w:rPr>
              <w:t>Штук</w:t>
            </w:r>
          </w:p>
        </w:tc>
        <w:tc>
          <w:tcPr>
            <w:tcW w:w="2154" w:type="dxa"/>
            <w:tcBorders>
              <w:top w:val="single" w:sz="4" w:space="0" w:color="auto"/>
              <w:left w:val="nil"/>
              <w:bottom w:val="single" w:sz="4" w:space="0" w:color="auto"/>
              <w:right w:val="single" w:sz="4" w:space="0" w:color="auto"/>
            </w:tcBorders>
            <w:shd w:val="clear" w:color="auto" w:fill="D6E3BC" w:themeFill="accent3" w:themeFillTint="66"/>
          </w:tcPr>
          <w:p w:rsidR="00F32DD9" w:rsidRDefault="00F32DD9" w:rsidP="00C64D7C">
            <w:pPr>
              <w:jc w:val="center"/>
              <w:rPr>
                <w:rFonts w:cs="Arial"/>
                <w:bCs/>
                <w:color w:val="000000"/>
                <w:sz w:val="20"/>
              </w:rPr>
            </w:pPr>
            <w:r>
              <w:rPr>
                <w:rFonts w:cs="Arial"/>
                <w:bCs/>
                <w:color w:val="000000"/>
                <w:sz w:val="20"/>
              </w:rPr>
              <w:t>% от общего</w:t>
            </w:r>
          </w:p>
        </w:tc>
      </w:tr>
      <w:tr w:rsidR="006850B6" w:rsidRPr="00E0625A" w:rsidTr="00901795">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6850B6" w:rsidRPr="00B0013C" w:rsidRDefault="006850B6" w:rsidP="00C64D7C">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bottom"/>
            <w:hideMark/>
          </w:tcPr>
          <w:p w:rsidR="006850B6" w:rsidRPr="006850B6" w:rsidRDefault="006850B6">
            <w:pPr>
              <w:jc w:val="right"/>
              <w:rPr>
                <w:rFonts w:cs="Arial"/>
                <w:color w:val="000000"/>
                <w:sz w:val="20"/>
              </w:rPr>
            </w:pPr>
            <w:r w:rsidRPr="006850B6">
              <w:rPr>
                <w:rFonts w:cs="Arial"/>
                <w:color w:val="000000"/>
                <w:sz w:val="20"/>
              </w:rPr>
              <w:t>42</w:t>
            </w:r>
          </w:p>
        </w:tc>
        <w:tc>
          <w:tcPr>
            <w:tcW w:w="2154" w:type="dxa"/>
            <w:tcBorders>
              <w:top w:val="nil"/>
              <w:left w:val="nil"/>
              <w:bottom w:val="single" w:sz="4" w:space="0" w:color="auto"/>
              <w:right w:val="single" w:sz="4" w:space="0" w:color="auto"/>
            </w:tcBorders>
            <w:shd w:val="clear" w:color="auto" w:fill="D6E3BC" w:themeFill="accent3" w:themeFillTint="66"/>
            <w:vAlign w:val="bottom"/>
          </w:tcPr>
          <w:p w:rsidR="006850B6" w:rsidRPr="006850B6" w:rsidRDefault="006850B6">
            <w:pPr>
              <w:jc w:val="right"/>
              <w:rPr>
                <w:rFonts w:cs="Arial"/>
                <w:color w:val="000000"/>
                <w:sz w:val="20"/>
              </w:rPr>
            </w:pPr>
            <w:r w:rsidRPr="006850B6">
              <w:rPr>
                <w:rFonts w:cs="Arial"/>
                <w:color w:val="000000"/>
                <w:sz w:val="20"/>
              </w:rPr>
              <w:t>0,51%</w:t>
            </w:r>
          </w:p>
        </w:tc>
      </w:tr>
      <w:tr w:rsidR="006850B6" w:rsidRPr="00E0625A" w:rsidTr="00901795">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6850B6" w:rsidRPr="00B0013C" w:rsidRDefault="006850B6" w:rsidP="00C64D7C">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bottom"/>
            <w:hideMark/>
          </w:tcPr>
          <w:p w:rsidR="006850B6" w:rsidRPr="006850B6" w:rsidRDefault="006850B6">
            <w:pPr>
              <w:jc w:val="right"/>
              <w:rPr>
                <w:rFonts w:cs="Arial"/>
                <w:color w:val="000000"/>
                <w:sz w:val="20"/>
              </w:rPr>
            </w:pPr>
            <w:r w:rsidRPr="006850B6">
              <w:rPr>
                <w:rFonts w:cs="Arial"/>
                <w:color w:val="000000"/>
                <w:sz w:val="20"/>
              </w:rPr>
              <w:t>3 277</w:t>
            </w:r>
          </w:p>
        </w:tc>
        <w:tc>
          <w:tcPr>
            <w:tcW w:w="2154" w:type="dxa"/>
            <w:tcBorders>
              <w:top w:val="nil"/>
              <w:left w:val="nil"/>
              <w:bottom w:val="single" w:sz="4" w:space="0" w:color="auto"/>
              <w:right w:val="single" w:sz="4" w:space="0" w:color="auto"/>
            </w:tcBorders>
            <w:shd w:val="clear" w:color="auto" w:fill="D6E3BC" w:themeFill="accent3" w:themeFillTint="66"/>
            <w:vAlign w:val="bottom"/>
          </w:tcPr>
          <w:p w:rsidR="006850B6" w:rsidRPr="006850B6" w:rsidRDefault="006850B6">
            <w:pPr>
              <w:jc w:val="right"/>
              <w:rPr>
                <w:rFonts w:cs="Arial"/>
                <w:color w:val="000000"/>
                <w:sz w:val="20"/>
              </w:rPr>
            </w:pPr>
            <w:r w:rsidRPr="006850B6">
              <w:rPr>
                <w:rFonts w:cs="Arial"/>
                <w:color w:val="000000"/>
                <w:sz w:val="20"/>
              </w:rPr>
              <w:t>39,52%</w:t>
            </w:r>
          </w:p>
        </w:tc>
      </w:tr>
      <w:tr w:rsidR="006850B6" w:rsidRPr="00E0625A" w:rsidTr="00901795">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tcPr>
          <w:p w:rsidR="006850B6" w:rsidRPr="00B0013C" w:rsidRDefault="006850B6" w:rsidP="00C64D7C">
            <w:pPr>
              <w:jc w:val="center"/>
              <w:rPr>
                <w:rFonts w:cs="Arial"/>
                <w:bCs/>
                <w:color w:val="000000"/>
                <w:sz w:val="20"/>
              </w:rPr>
            </w:pPr>
            <w:r>
              <w:rPr>
                <w:rFonts w:cs="Arial"/>
                <w:bCs/>
                <w:color w:val="000000"/>
                <w:sz w:val="20"/>
              </w:rPr>
              <w:t>Монолитный</w:t>
            </w:r>
          </w:p>
        </w:tc>
        <w:tc>
          <w:tcPr>
            <w:tcW w:w="2154" w:type="dxa"/>
            <w:tcBorders>
              <w:top w:val="nil"/>
              <w:left w:val="nil"/>
              <w:bottom w:val="single" w:sz="4" w:space="0" w:color="auto"/>
              <w:right w:val="single" w:sz="4" w:space="0" w:color="auto"/>
            </w:tcBorders>
            <w:shd w:val="clear" w:color="auto" w:fill="D6E3BC" w:themeFill="accent3" w:themeFillTint="66"/>
            <w:noWrap/>
            <w:vAlign w:val="bottom"/>
          </w:tcPr>
          <w:p w:rsidR="006850B6" w:rsidRPr="006850B6" w:rsidRDefault="006850B6">
            <w:pPr>
              <w:jc w:val="right"/>
              <w:rPr>
                <w:rFonts w:cs="Arial"/>
                <w:color w:val="000000"/>
                <w:sz w:val="20"/>
              </w:rPr>
            </w:pPr>
            <w:r w:rsidRPr="006850B6">
              <w:rPr>
                <w:rFonts w:cs="Arial"/>
                <w:color w:val="000000"/>
                <w:sz w:val="20"/>
              </w:rPr>
              <w:t>892</w:t>
            </w:r>
          </w:p>
        </w:tc>
        <w:tc>
          <w:tcPr>
            <w:tcW w:w="2154" w:type="dxa"/>
            <w:tcBorders>
              <w:top w:val="nil"/>
              <w:left w:val="nil"/>
              <w:bottom w:val="single" w:sz="4" w:space="0" w:color="auto"/>
              <w:right w:val="single" w:sz="4" w:space="0" w:color="auto"/>
            </w:tcBorders>
            <w:shd w:val="clear" w:color="auto" w:fill="D6E3BC" w:themeFill="accent3" w:themeFillTint="66"/>
            <w:vAlign w:val="bottom"/>
          </w:tcPr>
          <w:p w:rsidR="006850B6" w:rsidRPr="006850B6" w:rsidRDefault="006850B6">
            <w:pPr>
              <w:jc w:val="right"/>
              <w:rPr>
                <w:rFonts w:cs="Arial"/>
                <w:color w:val="000000"/>
                <w:sz w:val="20"/>
              </w:rPr>
            </w:pPr>
            <w:r w:rsidRPr="006850B6">
              <w:rPr>
                <w:rFonts w:cs="Arial"/>
                <w:color w:val="000000"/>
                <w:sz w:val="20"/>
              </w:rPr>
              <w:t>10,76%</w:t>
            </w:r>
          </w:p>
        </w:tc>
      </w:tr>
      <w:tr w:rsidR="006850B6" w:rsidRPr="00E0625A" w:rsidTr="00901795">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tcPr>
          <w:p w:rsidR="006850B6" w:rsidRPr="00B0013C" w:rsidRDefault="006850B6" w:rsidP="00C64D7C">
            <w:pPr>
              <w:jc w:val="center"/>
              <w:rPr>
                <w:rFonts w:cs="Arial"/>
                <w:bCs/>
                <w:color w:val="000000"/>
                <w:sz w:val="20"/>
              </w:rPr>
            </w:pPr>
            <w:r w:rsidRPr="00B0013C">
              <w:rPr>
                <w:rFonts w:cs="Arial"/>
                <w:bCs/>
                <w:color w:val="000000"/>
                <w:sz w:val="20"/>
              </w:rPr>
              <w:t>Панель ж/б</w:t>
            </w:r>
          </w:p>
        </w:tc>
        <w:tc>
          <w:tcPr>
            <w:tcW w:w="2154" w:type="dxa"/>
            <w:tcBorders>
              <w:top w:val="nil"/>
              <w:left w:val="nil"/>
              <w:bottom w:val="single" w:sz="4" w:space="0" w:color="auto"/>
              <w:right w:val="single" w:sz="4" w:space="0" w:color="auto"/>
            </w:tcBorders>
            <w:shd w:val="clear" w:color="auto" w:fill="D6E3BC" w:themeFill="accent3" w:themeFillTint="66"/>
            <w:noWrap/>
            <w:vAlign w:val="bottom"/>
          </w:tcPr>
          <w:p w:rsidR="006850B6" w:rsidRPr="006850B6" w:rsidRDefault="006850B6">
            <w:pPr>
              <w:jc w:val="right"/>
              <w:rPr>
                <w:rFonts w:cs="Arial"/>
                <w:color w:val="000000"/>
                <w:sz w:val="20"/>
              </w:rPr>
            </w:pPr>
            <w:r w:rsidRPr="006850B6">
              <w:rPr>
                <w:rFonts w:cs="Arial"/>
                <w:color w:val="000000"/>
                <w:sz w:val="20"/>
              </w:rPr>
              <w:t>3 945</w:t>
            </w:r>
          </w:p>
        </w:tc>
        <w:tc>
          <w:tcPr>
            <w:tcW w:w="2154" w:type="dxa"/>
            <w:tcBorders>
              <w:top w:val="nil"/>
              <w:left w:val="nil"/>
              <w:bottom w:val="single" w:sz="4" w:space="0" w:color="auto"/>
              <w:right w:val="single" w:sz="4" w:space="0" w:color="auto"/>
            </w:tcBorders>
            <w:shd w:val="clear" w:color="auto" w:fill="D6E3BC" w:themeFill="accent3" w:themeFillTint="66"/>
            <w:vAlign w:val="bottom"/>
          </w:tcPr>
          <w:p w:rsidR="006850B6" w:rsidRPr="006850B6" w:rsidRDefault="006850B6">
            <w:pPr>
              <w:jc w:val="right"/>
              <w:rPr>
                <w:rFonts w:cs="Arial"/>
                <w:color w:val="000000"/>
                <w:sz w:val="20"/>
              </w:rPr>
            </w:pPr>
            <w:r w:rsidRPr="006850B6">
              <w:rPr>
                <w:rFonts w:cs="Arial"/>
                <w:color w:val="000000"/>
                <w:sz w:val="20"/>
              </w:rPr>
              <w:t>47,58%</w:t>
            </w:r>
          </w:p>
        </w:tc>
      </w:tr>
      <w:tr w:rsidR="006850B6" w:rsidRPr="00E0625A" w:rsidTr="00901795">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6850B6" w:rsidRPr="00B0013C" w:rsidRDefault="006850B6" w:rsidP="00C64D7C">
            <w:pPr>
              <w:jc w:val="center"/>
              <w:rPr>
                <w:rFonts w:cs="Arial"/>
                <w:bCs/>
                <w:color w:val="000000"/>
                <w:sz w:val="20"/>
              </w:rPr>
            </w:pPr>
            <w:r>
              <w:rPr>
                <w:rFonts w:cs="Arial"/>
                <w:bCs/>
                <w:color w:val="000000"/>
                <w:sz w:val="20"/>
              </w:rPr>
              <w:t>Шлакобетонный</w:t>
            </w:r>
          </w:p>
        </w:tc>
        <w:tc>
          <w:tcPr>
            <w:tcW w:w="2154" w:type="dxa"/>
            <w:tcBorders>
              <w:top w:val="nil"/>
              <w:left w:val="nil"/>
              <w:bottom w:val="single" w:sz="4" w:space="0" w:color="auto"/>
              <w:right w:val="single" w:sz="4" w:space="0" w:color="auto"/>
            </w:tcBorders>
            <w:shd w:val="clear" w:color="auto" w:fill="D6E3BC" w:themeFill="accent3" w:themeFillTint="66"/>
            <w:noWrap/>
            <w:vAlign w:val="bottom"/>
            <w:hideMark/>
          </w:tcPr>
          <w:p w:rsidR="006850B6" w:rsidRPr="006850B6" w:rsidRDefault="006850B6">
            <w:pPr>
              <w:jc w:val="right"/>
              <w:rPr>
                <w:rFonts w:cs="Arial"/>
                <w:color w:val="000000"/>
                <w:sz w:val="20"/>
              </w:rPr>
            </w:pPr>
            <w:r w:rsidRPr="006850B6">
              <w:rPr>
                <w:rFonts w:cs="Arial"/>
                <w:color w:val="000000"/>
                <w:sz w:val="20"/>
              </w:rPr>
              <w:t>136</w:t>
            </w:r>
          </w:p>
        </w:tc>
        <w:tc>
          <w:tcPr>
            <w:tcW w:w="2154" w:type="dxa"/>
            <w:tcBorders>
              <w:top w:val="nil"/>
              <w:left w:val="nil"/>
              <w:bottom w:val="single" w:sz="4" w:space="0" w:color="auto"/>
              <w:right w:val="single" w:sz="4" w:space="0" w:color="auto"/>
            </w:tcBorders>
            <w:shd w:val="clear" w:color="auto" w:fill="D6E3BC" w:themeFill="accent3" w:themeFillTint="66"/>
            <w:vAlign w:val="bottom"/>
          </w:tcPr>
          <w:p w:rsidR="006850B6" w:rsidRPr="006850B6" w:rsidRDefault="006850B6">
            <w:pPr>
              <w:jc w:val="right"/>
              <w:rPr>
                <w:rFonts w:cs="Arial"/>
                <w:color w:val="000000"/>
                <w:sz w:val="20"/>
              </w:rPr>
            </w:pPr>
            <w:r w:rsidRPr="006850B6">
              <w:rPr>
                <w:rFonts w:cs="Arial"/>
                <w:color w:val="000000"/>
                <w:sz w:val="20"/>
              </w:rPr>
              <w:t>1,64%</w:t>
            </w:r>
          </w:p>
        </w:tc>
      </w:tr>
    </w:tbl>
    <w:p w:rsidR="00F32DD9" w:rsidRPr="008A782A" w:rsidRDefault="00F32DD9" w:rsidP="008A782A">
      <w:pPr>
        <w:pStyle w:val="2"/>
        <w:rPr>
          <w:rFonts w:ascii="Arial" w:hAnsi="Arial" w:cs="Arial"/>
          <w:sz w:val="20"/>
          <w:szCs w:val="20"/>
        </w:rPr>
      </w:pPr>
      <w:bookmarkStart w:id="15" w:name="_Toc445205856"/>
      <w:r w:rsidRPr="008A782A">
        <w:rPr>
          <w:rFonts w:ascii="Arial" w:hAnsi="Arial" w:cs="Arial"/>
          <w:sz w:val="20"/>
          <w:szCs w:val="20"/>
        </w:rPr>
        <w:t>Диаграмма 5. Отклонение средней удельной цены предложения по г. Владивосток от средних по районам,%</w:t>
      </w:r>
      <w:bookmarkEnd w:id="15"/>
    </w:p>
    <w:p w:rsidR="00CE25B4" w:rsidRDefault="006850B6" w:rsidP="00901795">
      <w:pPr>
        <w:ind w:left="-993"/>
        <w:rPr>
          <w:rFonts w:cs="Arial"/>
          <w:sz w:val="20"/>
        </w:rPr>
      </w:pPr>
      <w:r>
        <w:rPr>
          <w:noProof/>
        </w:rPr>
        <w:drawing>
          <wp:inline distT="0" distB="0" distL="0" distR="0" wp14:anchorId="75FA1D60" wp14:editId="2EEFA3CF">
            <wp:extent cx="6609080" cy="2306320"/>
            <wp:effectExtent l="0" t="0" r="2032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25B4" w:rsidRDefault="00CE25B4" w:rsidP="00CE25B4">
      <w:pPr>
        <w:rPr>
          <w:rFonts w:cs="Arial"/>
          <w:sz w:val="20"/>
        </w:rPr>
      </w:pPr>
    </w:p>
    <w:p w:rsidR="00F32DD9" w:rsidRDefault="00F32DD9" w:rsidP="00F32DD9">
      <w:pPr>
        <w:rPr>
          <w:rFonts w:cs="Arial"/>
          <w:sz w:val="20"/>
        </w:rPr>
      </w:pPr>
      <w:r>
        <w:rPr>
          <w:rFonts w:cs="Arial"/>
          <w:sz w:val="20"/>
        </w:rPr>
        <w:br w:type="page"/>
      </w:r>
    </w:p>
    <w:p w:rsidR="00F32DD9" w:rsidRPr="008A782A" w:rsidRDefault="00F32DD9" w:rsidP="008A782A">
      <w:pPr>
        <w:pStyle w:val="2"/>
        <w:rPr>
          <w:rFonts w:ascii="Arial" w:hAnsi="Arial" w:cs="Arial"/>
          <w:sz w:val="20"/>
          <w:szCs w:val="20"/>
        </w:rPr>
      </w:pPr>
      <w:bookmarkStart w:id="16" w:name="_Toc445205857"/>
      <w:r w:rsidRPr="008A782A">
        <w:rPr>
          <w:rFonts w:ascii="Arial" w:hAnsi="Arial" w:cs="Arial"/>
          <w:sz w:val="20"/>
          <w:szCs w:val="20"/>
        </w:rPr>
        <w:lastRenderedPageBreak/>
        <w:t>Таблица 8.</w:t>
      </w:r>
      <w:r w:rsidRPr="008A782A">
        <w:rPr>
          <w:rStyle w:val="a6"/>
          <w:rFonts w:ascii="Arial" w:hAnsi="Arial" w:cs="Arial"/>
          <w:color w:val="000000"/>
          <w:sz w:val="20"/>
          <w:szCs w:val="20"/>
        </w:rPr>
        <w:footnoteReference w:id="1"/>
      </w:r>
      <w:r w:rsidRPr="008A782A">
        <w:rPr>
          <w:rFonts w:ascii="Arial" w:hAnsi="Arial" w:cs="Arial"/>
          <w:sz w:val="20"/>
          <w:szCs w:val="20"/>
        </w:rPr>
        <w:t xml:space="preserve"> Средняя удельная цена предложения 1 кв. м. по районам г. Владивостока</w:t>
      </w:r>
      <w:bookmarkEnd w:id="16"/>
    </w:p>
    <w:tbl>
      <w:tblPr>
        <w:tblW w:w="9796" w:type="dxa"/>
        <w:tblInd w:w="93" w:type="dxa"/>
        <w:tblLayout w:type="fixed"/>
        <w:tblLook w:val="04A0" w:firstRow="1" w:lastRow="0" w:firstColumn="1" w:lastColumn="0" w:noHBand="0" w:noVBand="1"/>
      </w:tblPr>
      <w:tblGrid>
        <w:gridCol w:w="1716"/>
        <w:gridCol w:w="1276"/>
        <w:gridCol w:w="1134"/>
        <w:gridCol w:w="1276"/>
        <w:gridCol w:w="558"/>
        <w:gridCol w:w="1143"/>
        <w:gridCol w:w="992"/>
        <w:gridCol w:w="1701"/>
      </w:tblGrid>
      <w:tr w:rsidR="00901795" w:rsidRPr="00901795" w:rsidTr="00901795">
        <w:trPr>
          <w:trHeight w:val="170"/>
        </w:trPr>
        <w:tc>
          <w:tcPr>
            <w:tcW w:w="1716" w:type="dxa"/>
            <w:tcBorders>
              <w:top w:val="nil"/>
              <w:left w:val="nil"/>
              <w:bottom w:val="nil"/>
              <w:right w:val="nil"/>
            </w:tcBorders>
            <w:shd w:val="clear" w:color="auto" w:fill="auto"/>
            <w:noWrap/>
            <w:vAlign w:val="bottom"/>
            <w:hideMark/>
          </w:tcPr>
          <w:p w:rsidR="00901795" w:rsidRPr="00901795" w:rsidRDefault="00901795" w:rsidP="00901795">
            <w:pPr>
              <w:rPr>
                <w:rFonts w:cs="Arial"/>
                <w:color w:val="000000"/>
                <w:sz w:val="20"/>
              </w:rPr>
            </w:pPr>
          </w:p>
        </w:tc>
        <w:tc>
          <w:tcPr>
            <w:tcW w:w="4244" w:type="dxa"/>
            <w:gridSpan w:val="4"/>
            <w:tcBorders>
              <w:top w:val="nil"/>
              <w:left w:val="nil"/>
              <w:bottom w:val="single" w:sz="4" w:space="0" w:color="auto"/>
              <w:right w:val="single" w:sz="4" w:space="0" w:color="000000"/>
            </w:tcBorders>
            <w:shd w:val="clear" w:color="000000" w:fill="A9D08E"/>
            <w:noWrap/>
            <w:vAlign w:val="center"/>
            <w:hideMark/>
          </w:tcPr>
          <w:p w:rsidR="00901795" w:rsidRPr="00901795" w:rsidRDefault="00901795" w:rsidP="00901795">
            <w:pPr>
              <w:jc w:val="center"/>
              <w:rPr>
                <w:rFonts w:cs="Arial"/>
                <w:color w:val="000000"/>
                <w:sz w:val="20"/>
              </w:rPr>
            </w:pPr>
            <w:r w:rsidRPr="00901795">
              <w:rPr>
                <w:rFonts w:cs="Arial"/>
                <w:color w:val="000000"/>
                <w:sz w:val="20"/>
              </w:rPr>
              <w:t>2016, март</w:t>
            </w:r>
          </w:p>
        </w:tc>
        <w:tc>
          <w:tcPr>
            <w:tcW w:w="1143" w:type="dxa"/>
            <w:tcBorders>
              <w:top w:val="single" w:sz="4" w:space="0" w:color="auto"/>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color w:val="000000"/>
                <w:sz w:val="20"/>
              </w:rPr>
            </w:pPr>
            <w:r w:rsidRPr="00901795">
              <w:rPr>
                <w:rFonts w:cs="Arial"/>
                <w:color w:val="000000"/>
                <w:sz w:val="20"/>
              </w:rPr>
              <w:t>2016, февраль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 </w:t>
            </w:r>
          </w:p>
        </w:tc>
      </w:tr>
      <w:tr w:rsidR="00901795" w:rsidRPr="00901795" w:rsidTr="00901795">
        <w:trPr>
          <w:trHeight w:val="170"/>
        </w:trPr>
        <w:tc>
          <w:tcPr>
            <w:tcW w:w="171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Микрорайон</w:t>
            </w:r>
          </w:p>
        </w:tc>
        <w:tc>
          <w:tcPr>
            <w:tcW w:w="1276"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Минимум</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Средняя</w:t>
            </w:r>
          </w:p>
        </w:tc>
        <w:tc>
          <w:tcPr>
            <w:tcW w:w="1276"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Максимум</w:t>
            </w:r>
          </w:p>
        </w:tc>
        <w:tc>
          <w:tcPr>
            <w:tcW w:w="558"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шт.</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Средняя</w:t>
            </w:r>
          </w:p>
        </w:tc>
        <w:tc>
          <w:tcPr>
            <w:tcW w:w="992" w:type="dxa"/>
            <w:tcBorders>
              <w:top w:val="nil"/>
              <w:left w:val="nil"/>
              <w:bottom w:val="single" w:sz="4" w:space="0" w:color="auto"/>
              <w:right w:val="single" w:sz="4" w:space="0" w:color="auto"/>
            </w:tcBorders>
            <w:shd w:val="clear" w:color="auto" w:fill="auto"/>
            <w:vAlign w:val="center"/>
            <w:hideMark/>
          </w:tcPr>
          <w:p w:rsidR="00901795" w:rsidRDefault="00901795" w:rsidP="00901795">
            <w:pPr>
              <w:jc w:val="center"/>
              <w:rPr>
                <w:rFonts w:cs="Arial"/>
                <w:color w:val="000000"/>
                <w:sz w:val="20"/>
              </w:rPr>
            </w:pPr>
            <w:r w:rsidRPr="00901795">
              <w:rPr>
                <w:rFonts w:cs="Arial"/>
                <w:color w:val="000000"/>
                <w:sz w:val="20"/>
              </w:rPr>
              <w:t>% Изм</w:t>
            </w:r>
            <w:r>
              <w:rPr>
                <w:rFonts w:cs="Arial"/>
                <w:color w:val="000000"/>
                <w:sz w:val="20"/>
              </w:rPr>
              <w:t>.</w:t>
            </w:r>
          </w:p>
          <w:p w:rsidR="00901795" w:rsidRPr="00901795" w:rsidRDefault="00901795" w:rsidP="00901795">
            <w:pPr>
              <w:jc w:val="center"/>
              <w:rPr>
                <w:rFonts w:cs="Arial"/>
                <w:color w:val="000000"/>
                <w:sz w:val="20"/>
              </w:rPr>
            </w:pPr>
            <w:r w:rsidRPr="00901795">
              <w:rPr>
                <w:rFonts w:cs="Arial"/>
                <w:color w:val="000000"/>
                <w:sz w:val="20"/>
              </w:rPr>
              <w:t>средней</w:t>
            </w:r>
          </w:p>
        </w:tc>
        <w:tc>
          <w:tcPr>
            <w:tcW w:w="1701" w:type="dxa"/>
            <w:tcBorders>
              <w:top w:val="nil"/>
              <w:left w:val="nil"/>
              <w:bottom w:val="single" w:sz="4" w:space="0" w:color="auto"/>
              <w:right w:val="single" w:sz="4" w:space="0" w:color="auto"/>
            </w:tcBorders>
            <w:shd w:val="clear" w:color="000000" w:fill="C6E0B4"/>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Отклонение от</w:t>
            </w:r>
            <w:r>
              <w:rPr>
                <w:rFonts w:cs="Arial"/>
                <w:b/>
                <w:bCs/>
                <w:color w:val="000000"/>
                <w:sz w:val="20"/>
              </w:rPr>
              <w:t xml:space="preserve"> </w:t>
            </w:r>
            <w:r w:rsidRPr="00901795">
              <w:rPr>
                <w:rFonts w:cs="Arial"/>
                <w:b/>
                <w:bCs/>
                <w:color w:val="000000"/>
                <w:sz w:val="20"/>
              </w:rPr>
              <w:t xml:space="preserve">среднего по </w:t>
            </w:r>
            <w:r w:rsidR="00A00184" w:rsidRPr="00901795">
              <w:rPr>
                <w:rFonts w:cs="Arial"/>
                <w:b/>
                <w:bCs/>
                <w:color w:val="000000"/>
                <w:sz w:val="20"/>
              </w:rPr>
              <w:t>г. Владивосток</w:t>
            </w:r>
            <w:r w:rsidRPr="00901795">
              <w:rPr>
                <w:rFonts w:cs="Arial"/>
                <w:b/>
                <w:bCs/>
                <w:color w:val="000000"/>
                <w:sz w:val="20"/>
              </w:rPr>
              <w:t xml:space="preserve">, % </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64, 71 мкр.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14 870</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86 120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166 667</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678</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85 407</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0,83%</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-11,15%</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Баляева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40 323</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90 704</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135 714</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497</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92 823</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-2,28%</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-6,42%</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БАМ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38 571</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95 820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143 000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292</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97 742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-1,97%</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-1,14%</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Борисенко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42 857</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87 974</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125 000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455</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87 872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0,12%</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-9,24%</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Весенняя</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51 316</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74 659</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87 879</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85 096</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-12,27%</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-22,98%</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Вторая речка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32 877</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99 246</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232 558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999</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100 026</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-0,78%</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2,39%</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Гайдамак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46 875</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92 882</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144 898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82</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92 426</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0,49%</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-4,17%</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Горностай</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52 980</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64 398</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71 875</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62 052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3,78%</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-33,56%</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Заря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43 182</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86 579</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127 778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47</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89 957</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-3,75%</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-10,68%</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Луговая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48 761</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88 753</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161 290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264</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90 932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-2,40%</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-8,43%</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Некрасовская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61 333</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111 535</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183 333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282</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114 936</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-2,96%</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15,07%</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о. Попова</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18 438</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43 210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98 485</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64 045</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-32,53%</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-55,42%</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о. Русский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35 000</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65 350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84 828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53</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34 458</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89,65%</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-32,58%</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ст. Океанская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31 758</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84 221</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147 273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167</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87 459</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-3,70%</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-13,11%</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Патрокл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62 222</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86 801</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141 111</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54</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90 965</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-4,58%</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-10,45%</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Первая речка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45 133</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119 778</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327 273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375</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118 282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1,26%</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23,57%</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п-ов Песчаный</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27 586</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35 460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43 333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35 460</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0,00%</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-63,42%</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Пригород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9 672</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80 657</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113 793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61</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76 070</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6,03%</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-16,79%</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ст. Садгород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43 529</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75 023</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104 286</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69</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72 669</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3,24%</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-22,60%</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Сахарный Ключ</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74 419</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75 349</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76 279</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76 279</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-1,22%</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-22,26%</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ст. Седанка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46 552</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98 893</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167 188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101</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101 555</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-2,62%</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2,03%</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Снеговая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51 389</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79 924</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118 182</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76</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81 312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-1,71%</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-17,54%</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Снеговая Падь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71 512</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89 552</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118 868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199</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89 920</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-0,41%</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-7,61%</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ст.</w:t>
            </w:r>
            <w:r>
              <w:rPr>
                <w:rFonts w:cs="Arial"/>
                <w:b/>
                <w:bCs/>
                <w:color w:val="000000"/>
                <w:sz w:val="20"/>
              </w:rPr>
              <w:t xml:space="preserve"> </w:t>
            </w:r>
            <w:r w:rsidRPr="00901795">
              <w:rPr>
                <w:rFonts w:cs="Arial"/>
                <w:b/>
                <w:bCs/>
                <w:color w:val="000000"/>
                <w:sz w:val="20"/>
              </w:rPr>
              <w:t>Спутник</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23 803</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56 180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83 333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52 676</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6,65%</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-42,04%</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Столетие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47 414</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101 976</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192 500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638</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102 303</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-0,32%</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5,21%</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Тихая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8 000</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89 834</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127 500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349</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89 130</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0,79%</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-7,32%</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Толстого (Буссе)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62 687</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101 201</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160 714</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106</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99 433</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1,78%</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4,41%</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Третья рабочая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37 705</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101 082</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208 511</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405</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102 452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-1,34%</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4,28%</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Трудовая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31 034</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85 570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132 143</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153</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86 430</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-0,99%</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-11,72%</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A00184" w:rsidP="00901795">
            <w:pPr>
              <w:rPr>
                <w:rFonts w:cs="Arial"/>
                <w:b/>
                <w:bCs/>
                <w:color w:val="000000"/>
                <w:sz w:val="20"/>
              </w:rPr>
            </w:pPr>
            <w:r w:rsidRPr="00901795">
              <w:rPr>
                <w:rFonts w:cs="Arial"/>
                <w:b/>
                <w:bCs/>
                <w:color w:val="000000"/>
                <w:sz w:val="20"/>
              </w:rPr>
              <w:t>п. Трудовое</w:t>
            </w:r>
            <w:r w:rsidR="00901795" w:rsidRPr="00901795">
              <w:rPr>
                <w:rFonts w:cs="Arial"/>
                <w:b/>
                <w:bCs/>
                <w:color w:val="00000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10 417</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80 099</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375 000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169</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80 712</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-0,76%</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-17,36%</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A00184" w:rsidP="00901795">
            <w:pPr>
              <w:rPr>
                <w:rFonts w:cs="Arial"/>
                <w:b/>
                <w:bCs/>
                <w:color w:val="000000"/>
                <w:sz w:val="20"/>
              </w:rPr>
            </w:pPr>
            <w:r w:rsidRPr="00901795">
              <w:rPr>
                <w:rFonts w:cs="Arial"/>
                <w:b/>
                <w:bCs/>
                <w:color w:val="000000"/>
                <w:sz w:val="20"/>
              </w:rPr>
              <w:t>ст. Угольная</w:t>
            </w:r>
            <w:r w:rsidR="00901795" w:rsidRPr="00901795">
              <w:rPr>
                <w:rFonts w:cs="Arial"/>
                <w:b/>
                <w:bCs/>
                <w:color w:val="00000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55 172</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78 619</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100 000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35</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80 383</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-2,20%</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-18,89%</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Фадеева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44 435</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96 157</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136 364</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76</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99 739</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-3,59%</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-0,80%</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Центр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50 000</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115 510</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427 688</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577</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116 128</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-0,53%</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19,17%</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Чуркин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14 583</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90 663</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157 500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964</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92 383</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-1,86%</w:t>
            </w:r>
          </w:p>
        </w:tc>
        <w:tc>
          <w:tcPr>
            <w:tcW w:w="1701"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-6,46%</w:t>
            </w:r>
          </w:p>
        </w:tc>
      </w:tr>
      <w:tr w:rsidR="00901795" w:rsidRPr="00901795" w:rsidTr="00901795">
        <w:trPr>
          <w:trHeight w:val="170"/>
        </w:trPr>
        <w:tc>
          <w:tcPr>
            <w:tcW w:w="1716" w:type="dxa"/>
            <w:tcBorders>
              <w:top w:val="nil"/>
              <w:left w:val="single" w:sz="4" w:space="0" w:color="auto"/>
              <w:bottom w:val="single" w:sz="4" w:space="0" w:color="auto"/>
              <w:right w:val="single" w:sz="4" w:space="0" w:color="auto"/>
            </w:tcBorders>
            <w:shd w:val="clear" w:color="000000" w:fill="C6E0B4"/>
            <w:noWrap/>
            <w:vAlign w:val="center"/>
            <w:hideMark/>
          </w:tcPr>
          <w:p w:rsidR="00901795" w:rsidRPr="00901795" w:rsidRDefault="00901795" w:rsidP="00901795">
            <w:pPr>
              <w:rPr>
                <w:rFonts w:cs="Arial"/>
                <w:b/>
                <w:bCs/>
                <w:color w:val="000000"/>
                <w:sz w:val="20"/>
              </w:rPr>
            </w:pPr>
            <w:r w:rsidRPr="00901795">
              <w:rPr>
                <w:rFonts w:cs="Arial"/>
                <w:b/>
                <w:bCs/>
                <w:color w:val="000000"/>
                <w:sz w:val="20"/>
              </w:rPr>
              <w:t xml:space="preserve">Эгершельд </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40 476</w:t>
            </w:r>
          </w:p>
        </w:tc>
        <w:tc>
          <w:tcPr>
            <w:tcW w:w="1134" w:type="dxa"/>
            <w:tcBorders>
              <w:top w:val="nil"/>
              <w:left w:val="nil"/>
              <w:bottom w:val="single" w:sz="4" w:space="0" w:color="auto"/>
              <w:right w:val="single" w:sz="4" w:space="0" w:color="auto"/>
            </w:tcBorders>
            <w:shd w:val="clear" w:color="000000" w:fill="C6E0B4"/>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106 344</w:t>
            </w:r>
          </w:p>
        </w:tc>
        <w:tc>
          <w:tcPr>
            <w:tcW w:w="1276"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491 500</w:t>
            </w:r>
          </w:p>
        </w:tc>
        <w:tc>
          <w:tcPr>
            <w:tcW w:w="558"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478</w:t>
            </w:r>
          </w:p>
        </w:tc>
        <w:tc>
          <w:tcPr>
            <w:tcW w:w="1143" w:type="dxa"/>
            <w:tcBorders>
              <w:top w:val="nil"/>
              <w:left w:val="nil"/>
              <w:bottom w:val="single" w:sz="4" w:space="0" w:color="auto"/>
              <w:right w:val="single" w:sz="4" w:space="0" w:color="auto"/>
            </w:tcBorders>
            <w:shd w:val="clear" w:color="000000" w:fill="B4C6E7"/>
            <w:noWrap/>
            <w:vAlign w:val="center"/>
            <w:hideMark/>
          </w:tcPr>
          <w:p w:rsidR="00901795" w:rsidRPr="00901795" w:rsidRDefault="00901795" w:rsidP="00901795">
            <w:pPr>
              <w:jc w:val="center"/>
              <w:rPr>
                <w:rFonts w:cs="Arial"/>
                <w:b/>
                <w:bCs/>
                <w:color w:val="000000"/>
                <w:sz w:val="20"/>
              </w:rPr>
            </w:pPr>
            <w:r w:rsidRPr="00901795">
              <w:rPr>
                <w:rFonts w:cs="Arial"/>
                <w:b/>
                <w:bCs/>
                <w:color w:val="000000"/>
                <w:sz w:val="20"/>
              </w:rPr>
              <w:t>108 958</w:t>
            </w:r>
          </w:p>
        </w:tc>
        <w:tc>
          <w:tcPr>
            <w:tcW w:w="992" w:type="dxa"/>
            <w:tcBorders>
              <w:top w:val="nil"/>
              <w:left w:val="nil"/>
              <w:bottom w:val="single" w:sz="4" w:space="0" w:color="auto"/>
              <w:right w:val="single" w:sz="4" w:space="0" w:color="auto"/>
            </w:tcBorders>
            <w:shd w:val="clear" w:color="auto" w:fill="auto"/>
            <w:noWrap/>
            <w:vAlign w:val="center"/>
            <w:hideMark/>
          </w:tcPr>
          <w:p w:rsidR="00901795" w:rsidRPr="00901795" w:rsidRDefault="00901795" w:rsidP="00901795">
            <w:pPr>
              <w:jc w:val="center"/>
              <w:rPr>
                <w:rFonts w:cs="Arial"/>
                <w:color w:val="000000"/>
                <w:sz w:val="20"/>
              </w:rPr>
            </w:pPr>
            <w:r w:rsidRPr="00901795">
              <w:rPr>
                <w:rFonts w:cs="Arial"/>
                <w:color w:val="000000"/>
                <w:sz w:val="20"/>
              </w:rPr>
              <w:t>-2,40%</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901795" w:rsidRPr="00901795" w:rsidRDefault="00901795" w:rsidP="00901795">
            <w:pPr>
              <w:jc w:val="center"/>
              <w:rPr>
                <w:rFonts w:cs="Arial"/>
                <w:b/>
                <w:bCs/>
                <w:color w:val="9C0006"/>
                <w:sz w:val="20"/>
              </w:rPr>
            </w:pPr>
            <w:r w:rsidRPr="00901795">
              <w:rPr>
                <w:rFonts w:cs="Arial"/>
                <w:b/>
                <w:bCs/>
                <w:color w:val="9C0006"/>
                <w:sz w:val="20"/>
              </w:rPr>
              <w:t>9,71%</w:t>
            </w:r>
          </w:p>
        </w:tc>
      </w:tr>
    </w:tbl>
    <w:p w:rsidR="00F32DD9" w:rsidRDefault="00F32DD9" w:rsidP="00F32DD9">
      <w:pPr>
        <w:pStyle w:val="23"/>
        <w:widowControl/>
        <w:ind w:firstLine="720"/>
        <w:jc w:val="both"/>
        <w:rPr>
          <w:rFonts w:ascii="Arial" w:hAnsi="Arial" w:cs="Arial"/>
          <w:lang w:val="ru-RU"/>
        </w:rPr>
      </w:pPr>
    </w:p>
    <w:p w:rsidR="00C64D7C" w:rsidRPr="008A782A" w:rsidRDefault="00C64D7C" w:rsidP="008A782A">
      <w:pPr>
        <w:pStyle w:val="2"/>
        <w:rPr>
          <w:rFonts w:ascii="Arial" w:hAnsi="Arial" w:cs="Arial"/>
          <w:sz w:val="20"/>
          <w:szCs w:val="20"/>
        </w:rPr>
      </w:pPr>
      <w:bookmarkStart w:id="17" w:name="_Toc445205858"/>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CE25B4">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Средняя удельная цена предложения 1 кв. м. по типам квартир по районам г. Владивостока</w:t>
      </w:r>
      <w:bookmarkEnd w:id="17"/>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C47C6A">
          <w:pgSz w:w="11906" w:h="16838"/>
          <w:pgMar w:top="1134" w:right="850" w:bottom="1134" w:left="1701" w:header="708" w:footer="708" w:gutter="0"/>
          <w:cols w:space="708"/>
          <w:docGrid w:linePitch="360"/>
        </w:sectPr>
      </w:pPr>
    </w:p>
    <w:tbl>
      <w:tblPr>
        <w:tblW w:w="6699" w:type="dxa"/>
        <w:tblInd w:w="93" w:type="dxa"/>
        <w:tblLook w:val="04A0" w:firstRow="1" w:lastRow="0" w:firstColumn="1" w:lastColumn="0" w:noHBand="0" w:noVBand="1"/>
      </w:tblPr>
      <w:tblGrid>
        <w:gridCol w:w="2524"/>
        <w:gridCol w:w="7"/>
        <w:gridCol w:w="1202"/>
        <w:gridCol w:w="10"/>
        <w:gridCol w:w="1097"/>
        <w:gridCol w:w="12"/>
        <w:gridCol w:w="1295"/>
        <w:gridCol w:w="15"/>
        <w:gridCol w:w="537"/>
      </w:tblGrid>
      <w:tr w:rsidR="00C47C6A" w:rsidRPr="00C47C6A" w:rsidTr="00A425D1">
        <w:trPr>
          <w:trHeight w:val="255"/>
        </w:trPr>
        <w:tc>
          <w:tcPr>
            <w:tcW w:w="6699" w:type="dxa"/>
            <w:gridSpan w:val="9"/>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64 706</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95 212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122 917</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174</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55 556</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91 232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88</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52 276</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103 225</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140 000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105</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69 773</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94 708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120 833</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137</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81 818</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85 253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87 879</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3</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Вторая речка</w:t>
            </w:r>
          </w:p>
        </w:tc>
        <w:tc>
          <w:tcPr>
            <w:tcW w:w="1209" w:type="dxa"/>
            <w:gridSpan w:val="2"/>
            <w:tcBorders>
              <w:top w:val="nil"/>
              <w:left w:val="nil"/>
              <w:bottom w:val="nil"/>
              <w:right w:val="nil"/>
            </w:tcBorders>
            <w:shd w:val="clear" w:color="auto" w:fill="auto"/>
            <w:noWrap/>
            <w:vAlign w:val="bottom"/>
            <w:hideMark/>
          </w:tcPr>
          <w:p w:rsidR="00E5108A" w:rsidRDefault="00E5108A">
            <w:pPr>
              <w:jc w:val="center"/>
              <w:rPr>
                <w:rFonts w:cs="Arial"/>
                <w:color w:val="000000"/>
                <w:sz w:val="20"/>
              </w:rPr>
            </w:pPr>
            <w:r>
              <w:rPr>
                <w:rFonts w:cs="Arial"/>
                <w:color w:val="000000"/>
                <w:sz w:val="20"/>
              </w:rPr>
              <w:t>63 636</w:t>
            </w:r>
          </w:p>
        </w:tc>
        <w:tc>
          <w:tcPr>
            <w:tcW w:w="1107" w:type="dxa"/>
            <w:gridSpan w:val="2"/>
            <w:tcBorders>
              <w:top w:val="nil"/>
              <w:left w:val="single" w:sz="4" w:space="0" w:color="auto"/>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102 986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142 857</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232</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Гайдамак</w:t>
            </w:r>
          </w:p>
        </w:tc>
        <w:tc>
          <w:tcPr>
            <w:tcW w:w="12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84 444</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102 896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120 652</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23</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71 875</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71 875</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71 875</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65 957</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91 425</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111 667</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62 353</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98 691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161 290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79 412</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106 971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146 970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46</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42 308</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68 208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84 828</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50 000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86 072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102 439</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80 357</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89 760</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109 143</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96 000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125 447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177 778</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65</w:t>
            </w:r>
          </w:p>
        </w:tc>
      </w:tr>
      <w:tr w:rsidR="00E5108A" w:rsidRPr="00C47C6A"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r>
              <w:rPr>
                <w:rFonts w:cs="Arial"/>
                <w:color w:val="000000"/>
                <w:sz w:val="20"/>
              </w:rPr>
              <w:t>43 333</w:t>
            </w:r>
          </w:p>
        </w:tc>
        <w:tc>
          <w:tcPr>
            <w:tcW w:w="1107" w:type="dxa"/>
            <w:gridSpan w:val="2"/>
            <w:tcBorders>
              <w:top w:val="nil"/>
              <w:left w:val="nil"/>
              <w:bottom w:val="single" w:sz="4" w:space="0" w:color="auto"/>
              <w:right w:val="single" w:sz="4" w:space="0" w:color="auto"/>
            </w:tcBorders>
            <w:shd w:val="clear" w:color="000000" w:fill="C6E0B4"/>
            <w:noWrap/>
            <w:vAlign w:val="bottom"/>
          </w:tcPr>
          <w:p w:rsidR="00E5108A" w:rsidRDefault="00E5108A">
            <w:pPr>
              <w:jc w:val="center"/>
              <w:rPr>
                <w:rFonts w:cs="Arial"/>
                <w:b/>
                <w:bCs/>
                <w:color w:val="000000"/>
                <w:sz w:val="20"/>
              </w:rPr>
            </w:pPr>
            <w:r>
              <w:rPr>
                <w:rFonts w:cs="Arial"/>
                <w:b/>
                <w:bCs/>
                <w:color w:val="000000"/>
                <w:sz w:val="20"/>
              </w:rPr>
              <w:t>43 333</w:t>
            </w:r>
          </w:p>
        </w:tc>
        <w:tc>
          <w:tcPr>
            <w:tcW w:w="1307"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r>
              <w:rPr>
                <w:rFonts w:cs="Arial"/>
                <w:color w:val="000000"/>
                <w:sz w:val="20"/>
              </w:rPr>
              <w:t>43 333</w:t>
            </w:r>
          </w:p>
        </w:tc>
        <w:tc>
          <w:tcPr>
            <w:tcW w:w="552"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r>
              <w:rPr>
                <w:rFonts w:cs="Arial"/>
                <w:color w:val="000000"/>
                <w:sz w:val="20"/>
              </w:rPr>
              <w:t>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66 333</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93 469</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113 793</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17</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48 833</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82 972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104 286</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18</w:t>
            </w:r>
          </w:p>
        </w:tc>
      </w:tr>
      <w:tr w:rsidR="00E5108A" w:rsidRPr="00C47C6A"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46 552</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103 761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152 778</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28</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57 500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86 762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113 333</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14</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90 244</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101 997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113 889</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32</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80 000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81 667</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83 333</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77 778</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106 492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151 316</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125</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74 286</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96 513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127 500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84</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70 192</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106 124</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139 302</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28</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70 690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108 879</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152 778</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108</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70 833</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92 992</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110 000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36</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35 556</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83 795</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116 667</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45</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55 172</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77 448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98 611</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7</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81 818</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96 213</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132 258</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55 000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116 766</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196 667</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115</w:t>
            </w:r>
          </w:p>
        </w:tc>
      </w:tr>
      <w:tr w:rsidR="00E5108A" w:rsidRPr="00C47C6A"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bottom"/>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bottom"/>
          </w:tcPr>
          <w:p w:rsidR="00E5108A" w:rsidRDefault="00E5108A">
            <w:pPr>
              <w:jc w:val="center"/>
              <w:rPr>
                <w:rFonts w:cs="Arial"/>
                <w:color w:val="000000"/>
                <w:sz w:val="20"/>
              </w:rPr>
            </w:pP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41 310</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96 428</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157 500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210</w:t>
            </w:r>
          </w:p>
        </w:tc>
      </w:tr>
      <w:tr w:rsidR="00E5108A" w:rsidRPr="00C47C6A"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47C6A" w:rsidRDefault="00E5108A" w:rsidP="00C47C6A">
            <w:pPr>
              <w:rPr>
                <w:rFonts w:cs="Arial"/>
                <w:b/>
                <w:bCs/>
                <w:color w:val="000000"/>
                <w:sz w:val="20"/>
              </w:rPr>
            </w:pPr>
            <w:r w:rsidRPr="00C47C6A">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50 575</w:t>
            </w:r>
          </w:p>
        </w:tc>
        <w:tc>
          <w:tcPr>
            <w:tcW w:w="1107" w:type="dxa"/>
            <w:gridSpan w:val="2"/>
            <w:tcBorders>
              <w:top w:val="nil"/>
              <w:left w:val="nil"/>
              <w:bottom w:val="single" w:sz="4" w:space="0" w:color="auto"/>
              <w:right w:val="single" w:sz="4" w:space="0" w:color="auto"/>
            </w:tcBorders>
            <w:shd w:val="clear" w:color="000000" w:fill="C6E0B4"/>
            <w:noWrap/>
            <w:vAlign w:val="bottom"/>
            <w:hideMark/>
          </w:tcPr>
          <w:p w:rsidR="00E5108A" w:rsidRDefault="00E5108A">
            <w:pPr>
              <w:jc w:val="center"/>
              <w:rPr>
                <w:rFonts w:cs="Arial"/>
                <w:b/>
                <w:bCs/>
                <w:color w:val="000000"/>
                <w:sz w:val="20"/>
              </w:rPr>
            </w:pPr>
            <w:r>
              <w:rPr>
                <w:rFonts w:cs="Arial"/>
                <w:b/>
                <w:bCs/>
                <w:color w:val="000000"/>
                <w:sz w:val="20"/>
              </w:rPr>
              <w:t>106 291</w:t>
            </w:r>
          </w:p>
        </w:tc>
        <w:tc>
          <w:tcPr>
            <w:tcW w:w="1307"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150 000</w:t>
            </w:r>
          </w:p>
        </w:tc>
        <w:tc>
          <w:tcPr>
            <w:tcW w:w="552" w:type="dxa"/>
            <w:gridSpan w:val="2"/>
            <w:tcBorders>
              <w:top w:val="nil"/>
              <w:left w:val="nil"/>
              <w:bottom w:val="single" w:sz="4" w:space="0" w:color="auto"/>
              <w:right w:val="single" w:sz="4" w:space="0" w:color="auto"/>
            </w:tcBorders>
            <w:shd w:val="clear" w:color="auto" w:fill="auto"/>
            <w:noWrap/>
            <w:vAlign w:val="bottom"/>
            <w:hideMark/>
          </w:tcPr>
          <w:p w:rsidR="00E5108A" w:rsidRDefault="00E5108A">
            <w:pPr>
              <w:jc w:val="center"/>
              <w:rPr>
                <w:rFonts w:cs="Arial"/>
                <w:color w:val="000000"/>
                <w:sz w:val="20"/>
              </w:rPr>
            </w:pPr>
            <w:r>
              <w:rPr>
                <w:rFonts w:cs="Arial"/>
                <w:color w:val="000000"/>
                <w:sz w:val="20"/>
              </w:rPr>
              <w:t>131</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64 444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87 246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183</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52 279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88 085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78</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40 625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92 307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60 000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84 953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115 094</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139</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51 316</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59 658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68 000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Вторая речка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63 636</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98 142</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232 558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362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Гайдамак</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71 875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96 329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144 898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61 111</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65 025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67 955</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54 795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84 721</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103 333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52 279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90 185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127 083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61 333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112 990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183 333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61</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35 000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67 357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81 818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29</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34 884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83 776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118 750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72 222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95 585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141 111</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64 815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116 475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212 963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150</w:t>
            </w:r>
          </w:p>
        </w:tc>
      </w:tr>
      <w:tr w:rsidR="00E5108A" w:rsidRPr="00C64D7C" w:rsidTr="00E5108A">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37 500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77 779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104 651</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25</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50 000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76 278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101 852</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74 419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75 349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76 279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60 194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96 823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167 188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28</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52 500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75 941</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92 000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75 000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89 373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118 868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62</w:t>
            </w:r>
          </w:p>
        </w:tc>
      </w:tr>
      <w:tr w:rsidR="00E5108A" w:rsidRPr="00C64D7C"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68 889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98 836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192 500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240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57 500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84 738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105 814</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118</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67 692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100 444</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160 714</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36</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67 933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102 717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208 511</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60 638</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88 123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117 778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30 769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74 326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105 769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51</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67 442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77 728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96 000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73 953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88 958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58 621</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113 549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230 769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197</w:t>
            </w:r>
          </w:p>
        </w:tc>
      </w:tr>
      <w:tr w:rsidR="00E5108A" w:rsidRPr="00C64D7C"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40 789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88 298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148 148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270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40 476</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106 746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208 955</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123</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3-комнатная</w:t>
            </w:r>
          </w:p>
        </w:tc>
      </w:tr>
      <w:tr w:rsidR="00C64D7C"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55 357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81 549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209</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40 323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79 416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129 464</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88</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68 852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89 273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137 755</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76</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42 857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78 120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121 795</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87</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72 881</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72 881</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72 881</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Вторая речка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38 333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92 492</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161 170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223</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Гайдамак</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56 757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85 007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122 222</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52 980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59 407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65 833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79 310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103 237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122 549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52 109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84 150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59</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72 727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107 230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173 333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50 000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57 639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83 333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44 444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79 395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147 273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37</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62 222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78 599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101 449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85 965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117 230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200 000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27 586</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27 586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27 586</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9 672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74 108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17</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43 529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63 157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78 431</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w:t>
            </w:r>
          </w:p>
        </w:tc>
      </w:tr>
      <w:tr w:rsidR="00E5108A" w:rsidRPr="00C64D7C"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55 000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98 447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137 143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38</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51 389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68 797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76 563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71 512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85 977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114 286</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97</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23 803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39 189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69 118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47 414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93 498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170 000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65 000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78 773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105 738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44</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62 687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95 479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31</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37 705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97 915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191 667</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96</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31 034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77 744</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119 048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46</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38 750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71 340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95 902</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40</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66 667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75 095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90 278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44 435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81 422</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63 043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112 047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236 559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170</w:t>
            </w:r>
          </w:p>
        </w:tc>
      </w:tr>
      <w:tr w:rsidR="00E5108A" w:rsidRPr="00C64D7C"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45 370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82 935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142 985</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167</w:t>
            </w:r>
          </w:p>
        </w:tc>
      </w:tr>
      <w:tr w:rsidR="00E5108A" w:rsidRPr="00C64D7C"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59 211</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106 413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219 853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93</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4-комнатная</w:t>
            </w:r>
          </w:p>
        </w:tc>
      </w:tr>
      <w:tr w:rsidR="00C64D7C"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14 870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73 197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51</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84 127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88 492</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92 857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61 224</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99 947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143 000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63 000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81 728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109 412</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18</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34 375</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86 029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153 464</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45</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46 875</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68 817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87 333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53 226</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60 865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83 333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63 542</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80 918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97 248</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94 615</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111 069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127 206</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w:t>
            </w:r>
          </w:p>
        </w:tc>
      </w:tr>
      <w:tr w:rsidR="00E5108A"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31 758</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60 259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88 235</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45 133</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106 907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169 421</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27</w:t>
            </w:r>
          </w:p>
        </w:tc>
      </w:tr>
      <w:tr w:rsidR="00E5108A"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53 106</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63 405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73 704</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70 000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76 966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80 833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58 000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94 203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117 180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72 581</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84 493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97 647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61 500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97 464</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169 697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25</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70 968</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88 098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105 000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105 732</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123 333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73 077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93 654</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123 457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63 492</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80 521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94 203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50 667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68 863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91 803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57 143</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57 143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57 143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53 125</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129 653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427 688</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46</w:t>
            </w:r>
          </w:p>
        </w:tc>
      </w:tr>
      <w:tr w:rsidR="00E5108A"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55 556</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78 512</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112 500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35</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52 000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107 939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451 091</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29</w:t>
            </w:r>
          </w:p>
        </w:tc>
      </w:tr>
      <w:tr w:rsidR="00C64D7C" w:rsidRPr="00C64D7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5-комнатная</w:t>
            </w:r>
          </w:p>
        </w:tc>
      </w:tr>
      <w:tr w:rsidR="00C64D7C"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68 182</w:t>
            </w: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r>
              <w:rPr>
                <w:rFonts w:cs="Arial"/>
                <w:b/>
                <w:bCs/>
                <w:color w:val="000000"/>
                <w:sz w:val="20"/>
              </w:rPr>
              <w:t>68 182</w:t>
            </w: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68 182</w:t>
            </w: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1</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64 220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67 903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69 995</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72 381</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96 191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115 263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84 694</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90 612</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43 182</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46 580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51 103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79 167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116 167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148 333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E5108A"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57 500</w:t>
            </w: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r>
              <w:rPr>
                <w:rFonts w:cs="Arial"/>
                <w:b/>
                <w:bCs/>
                <w:color w:val="000000"/>
                <w:sz w:val="20"/>
              </w:rPr>
              <w:t>90 288</w:t>
            </w: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123 077</w:t>
            </w: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2</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85 106</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125 991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166 875</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89 506</w:t>
            </w: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r>
              <w:rPr>
                <w:rFonts w:cs="Arial"/>
                <w:b/>
                <w:bCs/>
                <w:color w:val="000000"/>
                <w:sz w:val="20"/>
              </w:rPr>
              <w:t>89 506</w:t>
            </w: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89 506</w:t>
            </w: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1</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68 182</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79 924</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91 667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95 930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95 930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95 930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93 750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93 750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93 750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70 690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105 944</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200 000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w:t>
            </w: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C64D7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C64D7C" w:rsidRDefault="00E5108A" w:rsidP="00C64D7C">
            <w:pPr>
              <w:rPr>
                <w:rFonts w:cs="Arial"/>
                <w:b/>
                <w:bCs/>
                <w:color w:val="000000"/>
                <w:sz w:val="20"/>
              </w:rPr>
            </w:pPr>
            <w:r w:rsidRPr="00C64D7C">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85 714</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112 095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167 665</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w:t>
            </w:r>
          </w:p>
        </w:tc>
      </w:tr>
      <w:tr w:rsidR="00681DDC" w:rsidRPr="00681DDC"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lastRenderedPageBreak/>
              <w:t>6 комнат и более</w:t>
            </w:r>
          </w:p>
        </w:tc>
      </w:tr>
      <w:tr w:rsidR="00681DDC"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681DDC" w:rsidRPr="00681DDC" w:rsidRDefault="00681DDC" w:rsidP="00681DDC">
            <w:pPr>
              <w:jc w:val="center"/>
              <w:rPr>
                <w:rFonts w:cs="Arial"/>
                <w:b/>
                <w:bCs/>
                <w:color w:val="000000"/>
                <w:sz w:val="20"/>
              </w:rPr>
            </w:pPr>
            <w:r w:rsidRPr="00681DDC">
              <w:rPr>
                <w:rFonts w:cs="Arial"/>
                <w:b/>
                <w:bCs/>
                <w:color w:val="000000"/>
                <w:sz w:val="20"/>
              </w:rPr>
              <w:t>шт.</w:t>
            </w: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77 941</w:t>
            </w: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r>
              <w:rPr>
                <w:rFonts w:cs="Arial"/>
                <w:b/>
                <w:bCs/>
                <w:color w:val="000000"/>
                <w:sz w:val="20"/>
              </w:rPr>
              <w:t>82 156</w:t>
            </w: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88 235</w:t>
            </w: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5</w:t>
            </w: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123 077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225 175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327 273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84 568</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84 568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84 568</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68 421</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68 421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68 421</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58623F">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42 105</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42 105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42 105</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681DDC"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681DDC" w:rsidRDefault="00E5108A" w:rsidP="00681DDC">
            <w:pPr>
              <w:rPr>
                <w:rFonts w:cs="Arial"/>
                <w:b/>
                <w:bCs/>
                <w:color w:val="000000"/>
                <w:sz w:val="20"/>
              </w:rPr>
            </w:pPr>
            <w:r w:rsidRPr="00681DDC">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106 635</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196 546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491 500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A425D1" w:rsidRPr="00A425D1"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lastRenderedPageBreak/>
              <w:t>Гостинка</w:t>
            </w:r>
          </w:p>
        </w:tc>
      </w:tr>
      <w:tr w:rsidR="00A425D1"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Микрорайон</w:t>
            </w:r>
          </w:p>
        </w:tc>
        <w:tc>
          <w:tcPr>
            <w:tcW w:w="1209"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Минимум</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Средняя</w:t>
            </w:r>
          </w:p>
        </w:tc>
        <w:tc>
          <w:tcPr>
            <w:tcW w:w="1307"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Максимум</w:t>
            </w:r>
          </w:p>
        </w:tc>
        <w:tc>
          <w:tcPr>
            <w:tcW w:w="552"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шт.</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64, 71 микрорайоны</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87 500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111 267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142 308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Баляева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80 000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104 995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135 714</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167</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БАМ</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89 375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105 126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129 412</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Борисенко</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84 615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101 259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123 333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44</w:t>
            </w: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Весенняя</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Вторая речка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86 207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118 147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156 429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102</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Гайдамак</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81 250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92 764</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121 739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w:t>
            </w: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Горностай</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Заря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85 714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113 386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127 778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Луговая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120 789</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154 167</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Некрасовская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91 667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119 562</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161 765</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69</w:t>
            </w: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о. Русский</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Океанская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70 833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90 698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112 667</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w:t>
            </w: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Патрокл</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Первая речка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97 059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137 573</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185 714</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30</w:t>
            </w: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п-ов Песчаный</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Пригород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Садгород</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Сахарный ключ</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Седанка</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Снеговая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63 889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81 882</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33</w:t>
            </w: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Снеговая падь</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58623F">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Спутник</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Столетие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89 583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117 215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147 368</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97</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Тихая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66 250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97 580</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126 316</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85</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Толстого (Буссе)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122 727</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122 727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122 727</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Третья рабочая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75 000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101 171</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125 000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65</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Трудовая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81 579</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96 194</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132 143</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Трудовое</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72 083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92 276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111 222</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24</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Угольная</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75 000</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88 876</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Фадеева</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107 692</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112 961</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117 857</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Центр</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53 704</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132 465</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190 000</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26</w:t>
            </w:r>
          </w:p>
        </w:tc>
      </w:tr>
      <w:tr w:rsidR="00E5108A" w:rsidRPr="00A425D1" w:rsidTr="004175BB">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Чайка</w:t>
            </w:r>
          </w:p>
        </w:tc>
        <w:tc>
          <w:tcPr>
            <w:tcW w:w="1209"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7"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07"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5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Чуркин</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14 583</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105 327</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142 857</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190</w:t>
            </w:r>
          </w:p>
        </w:tc>
      </w:tr>
      <w:tr w:rsidR="00E5108A" w:rsidRPr="00A425D1" w:rsidTr="00A425D1">
        <w:trPr>
          <w:trHeight w:val="255"/>
        </w:trPr>
        <w:tc>
          <w:tcPr>
            <w:tcW w:w="2524" w:type="dxa"/>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Эгершельд</w:t>
            </w:r>
          </w:p>
        </w:tc>
        <w:tc>
          <w:tcPr>
            <w:tcW w:w="1209"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50 575</w:t>
            </w:r>
          </w:p>
        </w:tc>
        <w:tc>
          <w:tcPr>
            <w:tcW w:w="1107"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104 348</w:t>
            </w:r>
          </w:p>
        </w:tc>
        <w:tc>
          <w:tcPr>
            <w:tcW w:w="1307"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141 176</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45</w:t>
            </w:r>
          </w:p>
        </w:tc>
      </w:tr>
      <w:tr w:rsidR="00A425D1" w:rsidRPr="00A425D1" w:rsidTr="00A425D1">
        <w:trPr>
          <w:trHeight w:val="255"/>
        </w:trPr>
        <w:tc>
          <w:tcPr>
            <w:tcW w:w="6699" w:type="dxa"/>
            <w:gridSpan w:val="9"/>
            <w:tcBorders>
              <w:top w:val="single" w:sz="4" w:space="0" w:color="auto"/>
              <w:left w:val="nil"/>
              <w:bottom w:val="single" w:sz="4" w:space="0" w:color="auto"/>
              <w:right w:val="nil"/>
            </w:tcBorders>
            <w:shd w:val="clear" w:color="000000" w:fill="BFBFBF"/>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lastRenderedPageBreak/>
              <w:t>Комната</w:t>
            </w:r>
          </w:p>
        </w:tc>
      </w:tr>
      <w:tr w:rsidR="00A425D1"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Микрорайон</w:t>
            </w:r>
          </w:p>
        </w:tc>
        <w:tc>
          <w:tcPr>
            <w:tcW w:w="1212"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Минимум</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Средняя</w:t>
            </w:r>
          </w:p>
        </w:tc>
        <w:tc>
          <w:tcPr>
            <w:tcW w:w="1310" w:type="dxa"/>
            <w:gridSpan w:val="2"/>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Максимум</w:t>
            </w:r>
          </w:p>
        </w:tc>
        <w:tc>
          <w:tcPr>
            <w:tcW w:w="537" w:type="dxa"/>
            <w:tcBorders>
              <w:top w:val="nil"/>
              <w:left w:val="nil"/>
              <w:bottom w:val="single" w:sz="4" w:space="0" w:color="auto"/>
              <w:right w:val="single" w:sz="4" w:space="0" w:color="auto"/>
            </w:tcBorders>
            <w:shd w:val="clear" w:color="000000" w:fill="C6E0B4"/>
            <w:noWrap/>
            <w:vAlign w:val="center"/>
            <w:hideMark/>
          </w:tcPr>
          <w:p w:rsidR="00A425D1" w:rsidRPr="00A425D1" w:rsidRDefault="00A425D1" w:rsidP="00A425D1">
            <w:pPr>
              <w:jc w:val="center"/>
              <w:rPr>
                <w:rFonts w:cs="Arial"/>
                <w:b/>
                <w:bCs/>
                <w:color w:val="000000"/>
                <w:sz w:val="20"/>
              </w:rPr>
            </w:pPr>
            <w:r w:rsidRPr="00A425D1">
              <w:rPr>
                <w:rFonts w:cs="Arial"/>
                <w:b/>
                <w:bCs/>
                <w:color w:val="000000"/>
                <w:sz w:val="20"/>
              </w:rPr>
              <w:t>шт.</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64, 71 микрорайоны</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86 667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111 615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166 667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4</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Баляева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86 842</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106 201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133 333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19</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БАМ</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38 571</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38 571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38 571</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Борисенко</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53 182</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85 858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125 000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27</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Весенняя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Вторая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54 167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99 020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141 667</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24</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Гайдамак</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73 529</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80 343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90 000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Горностай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Заря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Луговая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77 143</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92 056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109 688</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Некрасовская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77 500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102 483</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125 000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о. Русский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Океанская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Патрокл</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Первая речка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91 667</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113 839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143 333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9</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п-ов Песчаный</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Пригород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Садгород</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Сахарный ключ</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Седанка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Снеговая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88 889</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103 535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118 182</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Снеговая падь</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Спутник</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Столетие</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83 333</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103 662</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140 909</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Тихая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80 380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102 941</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Толстого (Буссе)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Третья рабочая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Трудовая</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59 259</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89 976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110 833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7</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Трудовое</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10 417</w:t>
            </w: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r>
              <w:rPr>
                <w:rFonts w:cs="Arial"/>
                <w:b/>
                <w:bCs/>
                <w:color w:val="000000"/>
                <w:sz w:val="20"/>
              </w:rPr>
              <w:t>161 806</w:t>
            </w: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375 000</w:t>
            </w: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r>
              <w:rPr>
                <w:rFonts w:cs="Arial"/>
                <w:color w:val="000000"/>
                <w:sz w:val="20"/>
              </w:rPr>
              <w:t>3</w:t>
            </w:r>
          </w:p>
        </w:tc>
      </w:tr>
      <w:tr w:rsidR="00E5108A" w:rsidRPr="00A425D1" w:rsidTr="004175BB">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Угольная</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Фадеева</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62 000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101 916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136 364</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34</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Центр</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50 000</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100 338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134 375</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11</w:t>
            </w:r>
          </w:p>
        </w:tc>
      </w:tr>
      <w:tr w:rsidR="00E5108A" w:rsidRPr="00A425D1" w:rsidTr="00D41C35">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Чайка</w:t>
            </w:r>
          </w:p>
        </w:tc>
        <w:tc>
          <w:tcPr>
            <w:tcW w:w="1212"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1109" w:type="dxa"/>
            <w:gridSpan w:val="2"/>
            <w:tcBorders>
              <w:top w:val="nil"/>
              <w:left w:val="nil"/>
              <w:bottom w:val="single" w:sz="4" w:space="0" w:color="auto"/>
              <w:right w:val="single" w:sz="4" w:space="0" w:color="auto"/>
            </w:tcBorders>
            <w:shd w:val="clear" w:color="000000" w:fill="C6E0B4"/>
            <w:noWrap/>
            <w:vAlign w:val="center"/>
          </w:tcPr>
          <w:p w:rsidR="00E5108A" w:rsidRDefault="00E5108A">
            <w:pPr>
              <w:jc w:val="center"/>
              <w:rPr>
                <w:rFonts w:cs="Arial"/>
                <w:b/>
                <w:bCs/>
                <w:color w:val="000000"/>
                <w:sz w:val="20"/>
              </w:rPr>
            </w:pPr>
          </w:p>
        </w:tc>
        <w:tc>
          <w:tcPr>
            <w:tcW w:w="1310" w:type="dxa"/>
            <w:gridSpan w:val="2"/>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c>
          <w:tcPr>
            <w:tcW w:w="537" w:type="dxa"/>
            <w:tcBorders>
              <w:top w:val="nil"/>
              <w:left w:val="nil"/>
              <w:bottom w:val="single" w:sz="4" w:space="0" w:color="auto"/>
              <w:right w:val="single" w:sz="4" w:space="0" w:color="auto"/>
            </w:tcBorders>
            <w:shd w:val="clear" w:color="auto" w:fill="auto"/>
            <w:noWrap/>
            <w:vAlign w:val="center"/>
          </w:tcPr>
          <w:p w:rsidR="00E5108A" w:rsidRDefault="00E5108A">
            <w:pPr>
              <w:jc w:val="center"/>
              <w:rPr>
                <w:rFonts w:cs="Arial"/>
                <w:color w:val="000000"/>
                <w:sz w:val="20"/>
              </w:rPr>
            </w:pP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Чуркин</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66 429</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86 961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103 333</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29</w:t>
            </w:r>
          </w:p>
        </w:tc>
      </w:tr>
      <w:tr w:rsidR="00E5108A" w:rsidRPr="00A425D1" w:rsidTr="00A425D1">
        <w:trPr>
          <w:trHeight w:val="255"/>
        </w:trPr>
        <w:tc>
          <w:tcPr>
            <w:tcW w:w="2531"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E5108A" w:rsidRPr="00A425D1" w:rsidRDefault="00E5108A" w:rsidP="00A425D1">
            <w:pPr>
              <w:rPr>
                <w:rFonts w:cs="Arial"/>
                <w:b/>
                <w:bCs/>
                <w:color w:val="000000"/>
                <w:sz w:val="20"/>
              </w:rPr>
            </w:pPr>
            <w:r w:rsidRPr="00A425D1">
              <w:rPr>
                <w:rFonts w:cs="Arial"/>
                <w:b/>
                <w:bCs/>
                <w:color w:val="000000"/>
                <w:sz w:val="20"/>
              </w:rPr>
              <w:t>Эгершельд</w:t>
            </w:r>
          </w:p>
        </w:tc>
        <w:tc>
          <w:tcPr>
            <w:tcW w:w="1212"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82 353</w:t>
            </w:r>
          </w:p>
        </w:tc>
        <w:tc>
          <w:tcPr>
            <w:tcW w:w="1109" w:type="dxa"/>
            <w:gridSpan w:val="2"/>
            <w:tcBorders>
              <w:top w:val="nil"/>
              <w:left w:val="nil"/>
              <w:bottom w:val="single" w:sz="4" w:space="0" w:color="auto"/>
              <w:right w:val="single" w:sz="4" w:space="0" w:color="auto"/>
            </w:tcBorders>
            <w:shd w:val="clear" w:color="000000" w:fill="C6E0B4"/>
            <w:noWrap/>
            <w:vAlign w:val="center"/>
            <w:hideMark/>
          </w:tcPr>
          <w:p w:rsidR="00E5108A" w:rsidRDefault="00E5108A">
            <w:pPr>
              <w:jc w:val="center"/>
              <w:rPr>
                <w:rFonts w:cs="Arial"/>
                <w:b/>
                <w:bCs/>
                <w:color w:val="000000"/>
                <w:sz w:val="20"/>
              </w:rPr>
            </w:pPr>
            <w:r>
              <w:rPr>
                <w:rFonts w:cs="Arial"/>
                <w:b/>
                <w:bCs/>
                <w:color w:val="000000"/>
                <w:sz w:val="20"/>
              </w:rPr>
              <w:t>110 915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150 000</w:t>
            </w:r>
          </w:p>
        </w:tc>
        <w:tc>
          <w:tcPr>
            <w:tcW w:w="537" w:type="dxa"/>
            <w:tcBorders>
              <w:top w:val="nil"/>
              <w:left w:val="nil"/>
              <w:bottom w:val="single" w:sz="4" w:space="0" w:color="auto"/>
              <w:right w:val="single" w:sz="4" w:space="0" w:color="auto"/>
            </w:tcBorders>
            <w:shd w:val="clear" w:color="auto" w:fill="auto"/>
            <w:noWrap/>
            <w:vAlign w:val="center"/>
            <w:hideMark/>
          </w:tcPr>
          <w:p w:rsidR="00E5108A" w:rsidRDefault="00E5108A">
            <w:pPr>
              <w:jc w:val="center"/>
              <w:rPr>
                <w:rFonts w:cs="Arial"/>
                <w:color w:val="000000"/>
                <w:sz w:val="20"/>
              </w:rPr>
            </w:pPr>
            <w:r>
              <w:rPr>
                <w:rFonts w:cs="Arial"/>
                <w:color w:val="000000"/>
                <w:sz w:val="20"/>
              </w:rPr>
              <w:t>14</w:t>
            </w:r>
          </w:p>
        </w:tc>
      </w:tr>
    </w:tbl>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8" w:name="_Toc445205859"/>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8"/>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901795">
        <w:rPr>
          <w:rFonts w:cs="Arial"/>
          <w:snapToGrid w:val="0"/>
          <w:sz w:val="16"/>
          <w:szCs w:val="16"/>
        </w:rPr>
        <w:t>Март</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9"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9" w:name="_Toc445205860"/>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9"/>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90467F" w:rsidRDefault="0090467F" w:rsidP="00E204B7">
      <w:pPr>
        <w:numPr>
          <w:ilvl w:val="0"/>
          <w:numId w:val="1"/>
        </w:numPr>
        <w:ind w:left="0"/>
        <w:jc w:val="both"/>
        <w:rPr>
          <w:rFonts w:cs="Arial"/>
          <w:sz w:val="20"/>
        </w:rPr>
      </w:pPr>
      <w:r w:rsidRPr="0090467F">
        <w:rPr>
          <w:rFonts w:cs="Arial"/>
          <w:sz w:val="20"/>
        </w:rPr>
        <w:t>Сайт</w:t>
      </w:r>
      <w:r w:rsidR="004C4F72" w:rsidRPr="0090467F">
        <w:rPr>
          <w:rFonts w:cs="Arial"/>
          <w:sz w:val="20"/>
        </w:rPr>
        <w:t xml:space="preserve"> </w:t>
      </w:r>
      <w:hyperlink r:id="rId20" w:history="1">
        <w:r w:rsidR="00B86921" w:rsidRPr="0090467F">
          <w:rPr>
            <w:rStyle w:val="a3"/>
            <w:rFonts w:cs="Arial"/>
            <w:sz w:val="20"/>
            <w:lang w:val="en-US"/>
          </w:rPr>
          <w:t>www</w:t>
        </w:r>
        <w:r w:rsidR="00B86921" w:rsidRPr="0090467F">
          <w:rPr>
            <w:rStyle w:val="a3"/>
            <w:rFonts w:cs="Arial"/>
            <w:sz w:val="20"/>
          </w:rPr>
          <w:t>.</w:t>
        </w:r>
        <w:r w:rsidR="00B86921" w:rsidRPr="0090467F">
          <w:rPr>
            <w:rStyle w:val="a3"/>
            <w:rFonts w:cs="Arial"/>
            <w:sz w:val="20"/>
            <w:lang w:val="en-US"/>
          </w:rPr>
          <w:t>farpost</w:t>
        </w:r>
        <w:r w:rsidR="00B86921" w:rsidRPr="0090467F">
          <w:rPr>
            <w:rStyle w:val="a3"/>
            <w:rFonts w:cs="Arial"/>
            <w:sz w:val="20"/>
          </w:rPr>
          <w:t>.</w:t>
        </w:r>
        <w:r w:rsidR="00B86921" w:rsidRPr="0090467F">
          <w:rPr>
            <w:rStyle w:val="a3"/>
            <w:rFonts w:cs="Arial"/>
            <w:sz w:val="20"/>
            <w:lang w:val="en-US"/>
          </w:rPr>
          <w:t>ru</w:t>
        </w:r>
      </w:hyperlink>
      <w:r w:rsidRPr="0090467F">
        <w:rPr>
          <w:rFonts w:cs="Arial"/>
          <w:sz w:val="20"/>
        </w:rPr>
        <w:t xml:space="preserve">, информация о выставленных на продажу квартирах </w:t>
      </w:r>
      <w:r w:rsidR="00F82834">
        <w:rPr>
          <w:rFonts w:cs="Arial"/>
          <w:sz w:val="20"/>
        </w:rPr>
        <w:t xml:space="preserve">в </w:t>
      </w:r>
      <w:r w:rsidR="00901795">
        <w:rPr>
          <w:rFonts w:cs="Arial"/>
          <w:sz w:val="20"/>
        </w:rPr>
        <w:t>Марте</w:t>
      </w:r>
      <w:r w:rsidR="00FF54A7">
        <w:rPr>
          <w:rFonts w:cs="Arial"/>
          <w:sz w:val="20"/>
        </w:rPr>
        <w:t xml:space="preserve"> 2016</w:t>
      </w:r>
      <w:r w:rsidRPr="0090467F">
        <w:rPr>
          <w:rFonts w:cs="Arial"/>
          <w:snapToGrid w:val="0"/>
          <w:sz w:val="20"/>
        </w:rPr>
        <w:t xml:space="preserve"> г.</w:t>
      </w:r>
    </w:p>
    <w:p w:rsidR="005E304B" w:rsidRPr="0090467F" w:rsidRDefault="005E304B" w:rsidP="00E204B7">
      <w:pPr>
        <w:numPr>
          <w:ilvl w:val="0"/>
          <w:numId w:val="1"/>
        </w:numPr>
        <w:ind w:left="0"/>
        <w:jc w:val="both"/>
        <w:rPr>
          <w:rFonts w:cs="Arial"/>
          <w:sz w:val="20"/>
        </w:rPr>
      </w:pPr>
      <w:r w:rsidRPr="0090467F">
        <w:rPr>
          <w:rFonts w:cs="Arial"/>
          <w:sz w:val="20"/>
        </w:rPr>
        <w:t>Сбор информ</w:t>
      </w:r>
      <w:r w:rsidR="00FD7CE9" w:rsidRPr="0090467F">
        <w:rPr>
          <w:rFonts w:cs="Arial"/>
          <w:sz w:val="20"/>
        </w:rPr>
        <w:t>а</w:t>
      </w:r>
      <w:r w:rsidRPr="0090467F">
        <w:rPr>
          <w:rFonts w:cs="Arial"/>
          <w:sz w:val="20"/>
        </w:rPr>
        <w:t xml:space="preserve">ции с сайта </w:t>
      </w:r>
      <w:r w:rsidR="00FD7CE9" w:rsidRPr="0090467F">
        <w:rPr>
          <w:rFonts w:cs="Arial"/>
          <w:sz w:val="20"/>
        </w:rPr>
        <w:t>осуществлен программным продуктом «Парсер сайтов» (Су</w:t>
      </w:r>
      <w:r w:rsidR="00063262" w:rsidRPr="0090467F">
        <w:rPr>
          <w:rFonts w:cs="Arial"/>
          <w:sz w:val="20"/>
        </w:rPr>
        <w:t>блице</w:t>
      </w:r>
      <w:r w:rsidR="00FD7CE9" w:rsidRPr="0090467F">
        <w:rPr>
          <w:rFonts w:cs="Arial"/>
          <w:sz w:val="20"/>
        </w:rPr>
        <w:t>нзионны</w:t>
      </w:r>
      <w:r w:rsidR="00063262" w:rsidRPr="0090467F">
        <w:rPr>
          <w:rFonts w:cs="Arial"/>
          <w:sz w:val="20"/>
        </w:rPr>
        <w:t>й</w:t>
      </w:r>
      <w:r w:rsidR="00FD7CE9" w:rsidRPr="0090467F">
        <w:rPr>
          <w:rFonts w:cs="Arial"/>
          <w:sz w:val="20"/>
        </w:rPr>
        <w:t xml:space="preserve"> договор №</w:t>
      </w:r>
      <w:r w:rsidR="00063262" w:rsidRPr="0090467F">
        <w:rPr>
          <w:rFonts w:cs="Arial"/>
          <w:sz w:val="20"/>
        </w:rPr>
        <w:t>1205-1, 12 мая 2015 года)</w:t>
      </w:r>
    </w:p>
    <w:p w:rsidR="003F41D7" w:rsidRPr="0090467F" w:rsidRDefault="003F41D7" w:rsidP="003F41D7">
      <w:pPr>
        <w:numPr>
          <w:ilvl w:val="0"/>
          <w:numId w:val="1"/>
        </w:numPr>
        <w:ind w:left="0"/>
        <w:jc w:val="both"/>
        <w:rPr>
          <w:rFonts w:cs="Arial"/>
          <w:sz w:val="20"/>
        </w:rPr>
      </w:pPr>
      <w:r w:rsidRPr="0090467F">
        <w:rPr>
          <w:rFonts w:cs="Arial"/>
          <w:sz w:val="20"/>
        </w:rPr>
        <w:t>Методология анализа рынка недвижимости изложенная в книге «</w:t>
      </w:r>
      <w:r w:rsidRPr="0090467F">
        <w:rPr>
          <w:rFonts w:cs="Arial"/>
          <w:b/>
          <w:bCs/>
          <w:sz w:val="20"/>
          <w:shd w:val="clear" w:color="auto" w:fill="FFFFFF"/>
        </w:rPr>
        <w:t>Анализ рынка недвижимости для профессионалов» Стерник</w:t>
      </w:r>
      <w:r w:rsidRPr="0090467F">
        <w:rPr>
          <w:rStyle w:val="apple-converted-space"/>
          <w:rFonts w:cs="Arial"/>
          <w:sz w:val="20"/>
          <w:shd w:val="clear" w:color="auto" w:fill="FFFFFF"/>
        </w:rPr>
        <w:t xml:space="preserve"> </w:t>
      </w:r>
      <w:r w:rsidRPr="0090467F">
        <w:rPr>
          <w:rFonts w:cs="Arial"/>
          <w:sz w:val="20"/>
          <w:shd w:val="clear" w:color="auto" w:fill="FFFFFF"/>
        </w:rPr>
        <w:t xml:space="preserve">Г.М., </w:t>
      </w:r>
      <w:r w:rsidRPr="0090467F">
        <w:rPr>
          <w:rFonts w:cs="Arial"/>
          <w:b/>
          <w:bCs/>
          <w:sz w:val="20"/>
          <w:shd w:val="clear" w:color="auto" w:fill="FFFFFF"/>
        </w:rPr>
        <w:t xml:space="preserve">Стерник </w:t>
      </w:r>
      <w:r w:rsidRPr="0090467F">
        <w:rPr>
          <w:rFonts w:cs="Arial"/>
          <w:sz w:val="20"/>
          <w:shd w:val="clear" w:color="auto" w:fill="FFFFFF"/>
        </w:rPr>
        <w:t>С.Г. Издательство, Экономика Год 2009 год.</w:t>
      </w:r>
    </w:p>
    <w:sectPr w:rsidR="003F41D7" w:rsidRPr="0090467F"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0C" w:rsidRDefault="00C3200C" w:rsidP="004C4F72">
      <w:r>
        <w:separator/>
      </w:r>
    </w:p>
  </w:endnote>
  <w:endnote w:type="continuationSeparator" w:id="0">
    <w:p w:rsidR="00C3200C" w:rsidRDefault="00C3200C"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8A" w:rsidRPr="0058623F" w:rsidRDefault="00E5108A"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0C" w:rsidRDefault="00C3200C" w:rsidP="004C4F72">
      <w:r>
        <w:separator/>
      </w:r>
    </w:p>
  </w:footnote>
  <w:footnote w:type="continuationSeparator" w:id="0">
    <w:p w:rsidR="00C3200C" w:rsidRDefault="00C3200C" w:rsidP="004C4F72">
      <w:r>
        <w:continuationSeparator/>
      </w:r>
    </w:p>
  </w:footnote>
  <w:footnote w:id="1">
    <w:p w:rsidR="00E5108A" w:rsidRPr="007436CE" w:rsidRDefault="00E5108A"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 w:id="2">
    <w:p w:rsidR="00E5108A" w:rsidRPr="007436CE" w:rsidRDefault="00E5108A"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8A" w:rsidRPr="0058623F" w:rsidRDefault="00E5108A"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вторичного жилья во Владивостоке, </w:t>
    </w:r>
    <w:r>
      <w:rPr>
        <w:rFonts w:cs="Arial"/>
        <w:snapToGrid w:val="0"/>
        <w:sz w:val="16"/>
        <w:szCs w:val="16"/>
      </w:rPr>
      <w:t>Март</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22987"/>
    <w:rsid w:val="00063262"/>
    <w:rsid w:val="000A26BF"/>
    <w:rsid w:val="000D3552"/>
    <w:rsid w:val="000E3CDD"/>
    <w:rsid w:val="00167ED6"/>
    <w:rsid w:val="00167F4F"/>
    <w:rsid w:val="001B164F"/>
    <w:rsid w:val="001C7218"/>
    <w:rsid w:val="001F2B81"/>
    <w:rsid w:val="00204F9F"/>
    <w:rsid w:val="00226674"/>
    <w:rsid w:val="00256F48"/>
    <w:rsid w:val="00281DCA"/>
    <w:rsid w:val="00286E9F"/>
    <w:rsid w:val="002878D7"/>
    <w:rsid w:val="002B4998"/>
    <w:rsid w:val="002B65BE"/>
    <w:rsid w:val="002C03EC"/>
    <w:rsid w:val="002E55DF"/>
    <w:rsid w:val="0030209E"/>
    <w:rsid w:val="00306679"/>
    <w:rsid w:val="003102DF"/>
    <w:rsid w:val="003248A7"/>
    <w:rsid w:val="00332658"/>
    <w:rsid w:val="00376086"/>
    <w:rsid w:val="003766E0"/>
    <w:rsid w:val="00377B08"/>
    <w:rsid w:val="00382E22"/>
    <w:rsid w:val="00383C00"/>
    <w:rsid w:val="003F41D7"/>
    <w:rsid w:val="004043A3"/>
    <w:rsid w:val="004175BB"/>
    <w:rsid w:val="004370C7"/>
    <w:rsid w:val="0044485C"/>
    <w:rsid w:val="004458F0"/>
    <w:rsid w:val="00476195"/>
    <w:rsid w:val="004C4F72"/>
    <w:rsid w:val="004D5099"/>
    <w:rsid w:val="00522464"/>
    <w:rsid w:val="00522BBE"/>
    <w:rsid w:val="00522D44"/>
    <w:rsid w:val="00534149"/>
    <w:rsid w:val="005402F5"/>
    <w:rsid w:val="0058623F"/>
    <w:rsid w:val="005A1FAF"/>
    <w:rsid w:val="005A7C77"/>
    <w:rsid w:val="005C7749"/>
    <w:rsid w:val="005E304B"/>
    <w:rsid w:val="005E62E0"/>
    <w:rsid w:val="00606126"/>
    <w:rsid w:val="00626F6A"/>
    <w:rsid w:val="00651930"/>
    <w:rsid w:val="00674EFD"/>
    <w:rsid w:val="00676E62"/>
    <w:rsid w:val="00681DDC"/>
    <w:rsid w:val="006850B6"/>
    <w:rsid w:val="00685123"/>
    <w:rsid w:val="006C4DB3"/>
    <w:rsid w:val="006D1CA4"/>
    <w:rsid w:val="006F7700"/>
    <w:rsid w:val="007003CE"/>
    <w:rsid w:val="00701D08"/>
    <w:rsid w:val="00712133"/>
    <w:rsid w:val="00726F8A"/>
    <w:rsid w:val="00763228"/>
    <w:rsid w:val="00787EE5"/>
    <w:rsid w:val="007A4B1E"/>
    <w:rsid w:val="007E21D9"/>
    <w:rsid w:val="007F3ACA"/>
    <w:rsid w:val="00804883"/>
    <w:rsid w:val="008121EF"/>
    <w:rsid w:val="008135B6"/>
    <w:rsid w:val="0083069C"/>
    <w:rsid w:val="0083145D"/>
    <w:rsid w:val="008631CC"/>
    <w:rsid w:val="00866116"/>
    <w:rsid w:val="00876E83"/>
    <w:rsid w:val="008A50D2"/>
    <w:rsid w:val="008A782A"/>
    <w:rsid w:val="008B0353"/>
    <w:rsid w:val="008B0D1B"/>
    <w:rsid w:val="008C1723"/>
    <w:rsid w:val="008D0134"/>
    <w:rsid w:val="00901795"/>
    <w:rsid w:val="0090467F"/>
    <w:rsid w:val="00925530"/>
    <w:rsid w:val="00934B15"/>
    <w:rsid w:val="0095762B"/>
    <w:rsid w:val="009772C7"/>
    <w:rsid w:val="00995A4B"/>
    <w:rsid w:val="009A2399"/>
    <w:rsid w:val="009E0708"/>
    <w:rsid w:val="009F0A23"/>
    <w:rsid w:val="009F2A1A"/>
    <w:rsid w:val="00A00184"/>
    <w:rsid w:val="00A22111"/>
    <w:rsid w:val="00A35999"/>
    <w:rsid w:val="00A425D1"/>
    <w:rsid w:val="00A52A12"/>
    <w:rsid w:val="00A53341"/>
    <w:rsid w:val="00A55BCD"/>
    <w:rsid w:val="00AB3024"/>
    <w:rsid w:val="00AE5B9F"/>
    <w:rsid w:val="00B0013C"/>
    <w:rsid w:val="00B5470C"/>
    <w:rsid w:val="00B61D2B"/>
    <w:rsid w:val="00B74A8E"/>
    <w:rsid w:val="00B83787"/>
    <w:rsid w:val="00B86921"/>
    <w:rsid w:val="00BA724F"/>
    <w:rsid w:val="00BB2F24"/>
    <w:rsid w:val="00BD3A18"/>
    <w:rsid w:val="00BE0774"/>
    <w:rsid w:val="00BF471C"/>
    <w:rsid w:val="00C047B7"/>
    <w:rsid w:val="00C06EC7"/>
    <w:rsid w:val="00C3200C"/>
    <w:rsid w:val="00C43FAD"/>
    <w:rsid w:val="00C47C6A"/>
    <w:rsid w:val="00C64D7C"/>
    <w:rsid w:val="00C934EB"/>
    <w:rsid w:val="00C9754D"/>
    <w:rsid w:val="00CB19B0"/>
    <w:rsid w:val="00CC68BB"/>
    <w:rsid w:val="00CE25B4"/>
    <w:rsid w:val="00D2654D"/>
    <w:rsid w:val="00D41C35"/>
    <w:rsid w:val="00D54B8D"/>
    <w:rsid w:val="00D637DA"/>
    <w:rsid w:val="00D87362"/>
    <w:rsid w:val="00D92492"/>
    <w:rsid w:val="00DA3275"/>
    <w:rsid w:val="00DB5BE6"/>
    <w:rsid w:val="00E01921"/>
    <w:rsid w:val="00E05C8D"/>
    <w:rsid w:val="00E0625A"/>
    <w:rsid w:val="00E204B7"/>
    <w:rsid w:val="00E5108A"/>
    <w:rsid w:val="00E75C85"/>
    <w:rsid w:val="00E774CC"/>
    <w:rsid w:val="00EA2946"/>
    <w:rsid w:val="00ED3A58"/>
    <w:rsid w:val="00EE0B92"/>
    <w:rsid w:val="00EE3081"/>
    <w:rsid w:val="00EF64F8"/>
    <w:rsid w:val="00F027FA"/>
    <w:rsid w:val="00F32DD9"/>
    <w:rsid w:val="00F3312C"/>
    <w:rsid w:val="00F72EE6"/>
    <w:rsid w:val="00F82834"/>
    <w:rsid w:val="00F91682"/>
    <w:rsid w:val="00FA3072"/>
    <w:rsid w:val="00FD7CE9"/>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farpo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yperlink" Target="mailto:dsn2001@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ergey\Desktop\&#1042;&#1083;&#1072;&#1076;&#1080;&#1074;&#1086;&#1089;&#1090;&#1086;&#1082;%20&#1087;&#1088;&#1086;&#1076;&#1072;&#1078;&#1072;%20&#1082;&#1074;&#1072;&#1088;&#1090;&#1080;&#1088;%20&#1052;&#1072;&#1088;&#1090;2016&#1075;%20&#1042;&#1090;&#1086;&#1088;&#1080;&#1095;&#1085;&#1099;&#1081;%20&#1055;&#1077;&#1088;&#1074;&#1080;&#1095;&#1085;&#1099;&#108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b="1" i="0" u="none" strike="noStrike" baseline="0">
                <a:effectLst/>
                <a:latin typeface="Arial" panose="020B0604020202020204" pitchFamily="34" charset="0"/>
                <a:cs typeface="Arial" panose="020B0604020202020204" pitchFamily="34" charset="0"/>
              </a:rPr>
              <a:t>Динамика изменения средней удельной цены предложения на вторичном рынке жилья в г.</a:t>
            </a:r>
            <a:r>
              <a:rPr lang="en-US" sz="1000" b="1" i="0" u="none" strike="noStrike" baseline="0">
                <a:effectLst/>
                <a:latin typeface="Arial" panose="020B0604020202020204" pitchFamily="34" charset="0"/>
                <a:cs typeface="Arial" panose="020B0604020202020204" pitchFamily="34" charset="0"/>
              </a:rPr>
              <a:t> </a:t>
            </a:r>
            <a:r>
              <a:rPr lang="ru-RU" sz="1000" b="1" i="0" u="none" strike="noStrike" baseline="0">
                <a:effectLst/>
                <a:latin typeface="Arial" panose="020B0604020202020204" pitchFamily="34" charset="0"/>
                <a:cs typeface="Arial" panose="020B0604020202020204" pitchFamily="34" charset="0"/>
              </a:rPr>
              <a:t>Владивостоке, руб/кв.м.</a:t>
            </a:r>
            <a:endParaRPr lang="ru-RU" sz="1000">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0"/>
                  <c:y val="5.4487179487179488E-2"/>
                </c:manualLayout>
              </c:layout>
              <c:showLegendKey val="0"/>
              <c:showVal val="1"/>
              <c:showCatName val="0"/>
              <c:showSerName val="0"/>
              <c:showPercent val="0"/>
              <c:showBubbleSize val="0"/>
            </c:dLbl>
            <c:spPr>
              <a:solidFill>
                <a:schemeClr val="bg1">
                  <a:lumMod val="75000"/>
                </a:schemeClr>
              </a:solidFill>
            </c:spPr>
            <c:txPr>
              <a:bodyPr/>
              <a:lstStyle/>
              <a:p>
                <a:pPr>
                  <a:defRPr sz="12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динамика!$A$1:$A$15</c:f>
              <c:numCache>
                <c:formatCode>mmm\-yy</c:formatCode>
                <c:ptCount val="1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42432</c:v>
                </c:pt>
              </c:numCache>
            </c:numRef>
          </c:cat>
          <c:val>
            <c:numRef>
              <c:f>динамика!$B$1:$B$15</c:f>
              <c:numCache>
                <c:formatCode>#,##0</c:formatCode>
                <c:ptCount val="15"/>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numCache>
            </c:numRef>
          </c:val>
          <c:smooth val="0"/>
        </c:ser>
        <c:dLbls>
          <c:showLegendKey val="0"/>
          <c:showVal val="0"/>
          <c:showCatName val="0"/>
          <c:showSerName val="0"/>
          <c:showPercent val="0"/>
          <c:showBubbleSize val="0"/>
        </c:dLbls>
        <c:hiLowLines/>
        <c:marker val="1"/>
        <c:smooth val="0"/>
        <c:axId val="45654016"/>
        <c:axId val="45655552"/>
      </c:lineChart>
      <c:dateAx>
        <c:axId val="45654016"/>
        <c:scaling>
          <c:orientation val="minMax"/>
        </c:scaling>
        <c:delete val="0"/>
        <c:axPos val="b"/>
        <c:numFmt formatCode="mmm\-yy" sourceLinked="1"/>
        <c:majorTickMark val="none"/>
        <c:minorTickMark val="none"/>
        <c:tickLblPos val="nextTo"/>
        <c:crossAx val="45655552"/>
        <c:crosses val="autoZero"/>
        <c:auto val="1"/>
        <c:lblOffset val="100"/>
        <c:baseTimeUnit val="months"/>
      </c:dateAx>
      <c:valAx>
        <c:axId val="45655552"/>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5654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4"/>
              <c:layout>
                <c:manualLayout>
                  <c:x val="-4.0495549469359807E-2"/>
                  <c:y val="-4.7673117963058356E-2"/>
                </c:manualLayout>
              </c:layout>
              <c:showLegendKey val="0"/>
              <c:showVal val="0"/>
              <c:showCatName val="1"/>
              <c:showSerName val="0"/>
              <c:showPercent val="1"/>
              <c:showBubbleSize val="0"/>
            </c:dLbl>
            <c:numFmt formatCode="0.00%" sourceLinked="0"/>
            <c:spPr>
              <a:solidFill>
                <a:schemeClr val="bg2">
                  <a:lumMod val="75000"/>
                </a:schemeClr>
              </a:solidFill>
            </c:spPr>
            <c:txPr>
              <a:bodyPr/>
              <a:lstStyle/>
              <a:p>
                <a:pPr>
                  <a:defRPr b="1"/>
                </a:pPr>
                <a:endParaRPr lang="ru-RU"/>
              </a:p>
            </c:txPr>
            <c:showLegendKey val="0"/>
            <c:showVal val="0"/>
            <c:showCatName val="1"/>
            <c:showSerName val="0"/>
            <c:showPercent val="1"/>
            <c:showBubbleSize val="0"/>
            <c:showLeaderLines val="1"/>
          </c:dLbls>
          <c:cat>
            <c:strRef>
              <c:f>итоги!$G$50:$G$57</c:f>
              <c:strCache>
                <c:ptCount val="8"/>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strCache>
            </c:strRef>
          </c:cat>
          <c:val>
            <c:numRef>
              <c:f>итоги!$H$50:$H$57</c:f>
              <c:numCache>
                <c:formatCode>#,##0</c:formatCode>
                <c:ptCount val="8"/>
                <c:pt idx="0">
                  <c:v>1978</c:v>
                </c:pt>
                <c:pt idx="1">
                  <c:v>2640</c:v>
                </c:pt>
                <c:pt idx="2">
                  <c:v>1975</c:v>
                </c:pt>
                <c:pt idx="3">
                  <c:v>378</c:v>
                </c:pt>
                <c:pt idx="4">
                  <c:v>35</c:v>
                </c:pt>
                <c:pt idx="5">
                  <c:v>14</c:v>
                </c:pt>
                <c:pt idx="6">
                  <c:v>1043</c:v>
                </c:pt>
                <c:pt idx="7">
                  <c:v>227</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итоги!$B$15</c:f>
              <c:strCache>
                <c:ptCount val="1"/>
                <c:pt idx="0">
                  <c:v>Минимум</c:v>
                </c:pt>
              </c:strCache>
            </c:strRef>
          </c:tx>
          <c:invertIfNegative val="0"/>
          <c:cat>
            <c:strRef>
              <c:f>итоги!$A$16:$A$23</c:f>
              <c:strCache>
                <c:ptCount val="8"/>
                <c:pt idx="0">
                  <c:v>1-комнатная</c:v>
                </c:pt>
                <c:pt idx="1">
                  <c:v>2-комнатная</c:v>
                </c:pt>
                <c:pt idx="2">
                  <c:v>3-комнатная</c:v>
                </c:pt>
                <c:pt idx="3">
                  <c:v>4-комнатная</c:v>
                </c:pt>
                <c:pt idx="4">
                  <c:v>5-комнатная</c:v>
                </c:pt>
                <c:pt idx="5">
                  <c:v>6-комнатная и более</c:v>
                </c:pt>
                <c:pt idx="6">
                  <c:v>Гостинки</c:v>
                </c:pt>
                <c:pt idx="7">
                  <c:v>Комнаты</c:v>
                </c:pt>
              </c:strCache>
            </c:strRef>
          </c:cat>
          <c:val>
            <c:numRef>
              <c:f>итоги!$B$16:$B$23</c:f>
              <c:numCache>
                <c:formatCode>#,##0</c:formatCode>
                <c:ptCount val="8"/>
                <c:pt idx="0">
                  <c:v>32876.71232876712</c:v>
                </c:pt>
                <c:pt idx="1">
                  <c:v>19148.936170212764</c:v>
                </c:pt>
                <c:pt idx="2">
                  <c:v>9672.1311475409839</c:v>
                </c:pt>
                <c:pt idx="3">
                  <c:v>14869.565217391304</c:v>
                </c:pt>
                <c:pt idx="4">
                  <c:v>43181.818181818184</c:v>
                </c:pt>
                <c:pt idx="5">
                  <c:v>42105.26315789474</c:v>
                </c:pt>
                <c:pt idx="6">
                  <c:v>14583.333333333334</c:v>
                </c:pt>
                <c:pt idx="7">
                  <c:v>8000</c:v>
                </c:pt>
              </c:numCache>
            </c:numRef>
          </c:val>
        </c:ser>
        <c:ser>
          <c:idx val="1"/>
          <c:order val="1"/>
          <c:tx>
            <c:strRef>
              <c:f>итоги!$C$15</c:f>
              <c:strCache>
                <c:ptCount val="1"/>
                <c:pt idx="0">
                  <c:v>Средняя</c:v>
                </c:pt>
              </c:strCache>
            </c:strRef>
          </c:tx>
          <c:invertIfNegative val="0"/>
          <c:dLbls>
            <c:spPr>
              <a:solidFill>
                <a:schemeClr val="accent2">
                  <a:lumMod val="60000"/>
                  <a:lumOff val="40000"/>
                </a:schemeClr>
              </a:solidFill>
            </c:spPr>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итоги!$A$16:$A$23</c:f>
              <c:strCache>
                <c:ptCount val="8"/>
                <c:pt idx="0">
                  <c:v>1-комнатная</c:v>
                </c:pt>
                <c:pt idx="1">
                  <c:v>2-комнатная</c:v>
                </c:pt>
                <c:pt idx="2">
                  <c:v>3-комнатная</c:v>
                </c:pt>
                <c:pt idx="3">
                  <c:v>4-комнатная</c:v>
                </c:pt>
                <c:pt idx="4">
                  <c:v>5-комнатная</c:v>
                </c:pt>
                <c:pt idx="5">
                  <c:v>6-комнатная и более</c:v>
                </c:pt>
                <c:pt idx="6">
                  <c:v>Гостинки</c:v>
                </c:pt>
                <c:pt idx="7">
                  <c:v>Комнаты</c:v>
                </c:pt>
              </c:strCache>
            </c:strRef>
          </c:cat>
          <c:val>
            <c:numRef>
              <c:f>итоги!$C$16:$C$23</c:f>
              <c:numCache>
                <c:formatCode>#,##0</c:formatCode>
                <c:ptCount val="8"/>
                <c:pt idx="0">
                  <c:v>99216.440773012378</c:v>
                </c:pt>
                <c:pt idx="1">
                  <c:v>93839.889524335173</c:v>
                </c:pt>
                <c:pt idx="2">
                  <c:v>90306.974651157609</c:v>
                </c:pt>
                <c:pt idx="3">
                  <c:v>92657.700942832991</c:v>
                </c:pt>
                <c:pt idx="4">
                  <c:v>96643.216644855464</c:v>
                </c:pt>
                <c:pt idx="5">
                  <c:v>135930.2183557885</c:v>
                </c:pt>
                <c:pt idx="6">
                  <c:v>107843.89412293576</c:v>
                </c:pt>
                <c:pt idx="7">
                  <c:v>96972.15322548493</c:v>
                </c:pt>
              </c:numCache>
            </c:numRef>
          </c:val>
        </c:ser>
        <c:ser>
          <c:idx val="2"/>
          <c:order val="2"/>
          <c:tx>
            <c:strRef>
              <c:f>итоги!$D$15</c:f>
              <c:strCache>
                <c:ptCount val="1"/>
                <c:pt idx="0">
                  <c:v>Максимум</c:v>
                </c:pt>
              </c:strCache>
            </c:strRef>
          </c:tx>
          <c:invertIfNegative val="0"/>
          <c:cat>
            <c:strRef>
              <c:f>итоги!$A$16:$A$23</c:f>
              <c:strCache>
                <c:ptCount val="8"/>
                <c:pt idx="0">
                  <c:v>1-комнатная</c:v>
                </c:pt>
                <c:pt idx="1">
                  <c:v>2-комнатная</c:v>
                </c:pt>
                <c:pt idx="2">
                  <c:v>3-комнатная</c:v>
                </c:pt>
                <c:pt idx="3">
                  <c:v>4-комнатная</c:v>
                </c:pt>
                <c:pt idx="4">
                  <c:v>5-комнатная</c:v>
                </c:pt>
                <c:pt idx="5">
                  <c:v>6-комнатная и более</c:v>
                </c:pt>
                <c:pt idx="6">
                  <c:v>Гостинки</c:v>
                </c:pt>
                <c:pt idx="7">
                  <c:v>Комнаты</c:v>
                </c:pt>
              </c:strCache>
            </c:strRef>
          </c:cat>
          <c:val>
            <c:numRef>
              <c:f>итоги!$D$16:$D$23</c:f>
              <c:numCache>
                <c:formatCode>#,##0</c:formatCode>
                <c:ptCount val="8"/>
                <c:pt idx="0">
                  <c:v>196666.66666666666</c:v>
                </c:pt>
                <c:pt idx="1">
                  <c:v>232558.11627906977</c:v>
                </c:pt>
                <c:pt idx="2">
                  <c:v>236559.13978494622</c:v>
                </c:pt>
                <c:pt idx="3">
                  <c:v>451090.56</c:v>
                </c:pt>
                <c:pt idx="4">
                  <c:v>200000</c:v>
                </c:pt>
                <c:pt idx="5">
                  <c:v>491500</c:v>
                </c:pt>
                <c:pt idx="6">
                  <c:v>190000</c:v>
                </c:pt>
                <c:pt idx="7">
                  <c:v>375000</c:v>
                </c:pt>
              </c:numCache>
            </c:numRef>
          </c:val>
        </c:ser>
        <c:dLbls>
          <c:showLegendKey val="0"/>
          <c:showVal val="0"/>
          <c:showCatName val="0"/>
          <c:showSerName val="0"/>
          <c:showPercent val="0"/>
          <c:showBubbleSize val="0"/>
        </c:dLbls>
        <c:gapWidth val="150"/>
        <c:shape val="pyramid"/>
        <c:axId val="46049152"/>
        <c:axId val="46056960"/>
        <c:axId val="0"/>
      </c:bar3DChart>
      <c:catAx>
        <c:axId val="46049152"/>
        <c:scaling>
          <c:orientation val="minMax"/>
        </c:scaling>
        <c:delete val="0"/>
        <c:axPos val="b"/>
        <c:title>
          <c:tx>
            <c:rich>
              <a:bodyPr/>
              <a:lstStyle/>
              <a:p>
                <a:pPr>
                  <a:defRPr/>
                </a:pPr>
                <a:r>
                  <a:rPr lang="ru-RU"/>
                  <a:t>Количество комнат</a:t>
                </a:r>
              </a:p>
            </c:rich>
          </c:tx>
          <c:overlay val="0"/>
        </c:title>
        <c:majorTickMark val="none"/>
        <c:minorTickMark val="none"/>
        <c:tickLblPos val="nextTo"/>
        <c:crossAx val="46056960"/>
        <c:crosses val="autoZero"/>
        <c:auto val="1"/>
        <c:lblAlgn val="ctr"/>
        <c:lblOffset val="100"/>
        <c:noMultiLvlLbl val="0"/>
      </c:catAx>
      <c:valAx>
        <c:axId val="46056960"/>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460491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итоги!$A$31</c:f>
              <c:strCache>
                <c:ptCount val="1"/>
                <c:pt idx="0">
                  <c:v>Первый</c:v>
                </c:pt>
              </c:strCache>
            </c:strRef>
          </c:tx>
          <c:invertIfNegative val="0"/>
          <c:dLbls>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val>
            <c:numRef>
              <c:f>итоги!$C$31</c:f>
              <c:numCache>
                <c:formatCode>#,##0</c:formatCode>
                <c:ptCount val="1"/>
                <c:pt idx="0">
                  <c:v>89493.511697187103</c:v>
                </c:pt>
              </c:numCache>
            </c:numRef>
          </c:val>
        </c:ser>
        <c:ser>
          <c:idx val="1"/>
          <c:order val="1"/>
          <c:tx>
            <c:strRef>
              <c:f>итоги!$A$32</c:f>
              <c:strCache>
                <c:ptCount val="1"/>
                <c:pt idx="0">
                  <c:v>Средний</c:v>
                </c:pt>
              </c:strCache>
            </c:strRef>
          </c:tx>
          <c:invertIfNegative val="0"/>
          <c:dLbls>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val>
            <c:numRef>
              <c:f>итоги!$C$32</c:f>
              <c:numCache>
                <c:formatCode>#,##0</c:formatCode>
                <c:ptCount val="1"/>
                <c:pt idx="0">
                  <c:v>98302.542112971496</c:v>
                </c:pt>
              </c:numCache>
            </c:numRef>
          </c:val>
        </c:ser>
        <c:ser>
          <c:idx val="2"/>
          <c:order val="2"/>
          <c:tx>
            <c:strRef>
              <c:f>итоги!$A$33</c:f>
              <c:strCache>
                <c:ptCount val="1"/>
                <c:pt idx="0">
                  <c:v>Последний</c:v>
                </c:pt>
              </c:strCache>
            </c:strRef>
          </c:tx>
          <c:invertIfNegative val="0"/>
          <c:dLbls>
            <c:dLbl>
              <c:idx val="0"/>
              <c:layout>
                <c:manualLayout>
                  <c:x val="5.0285419247753885E-2"/>
                  <c:y val="-3.5076689071896183E-17"/>
                </c:manualLayout>
              </c:layout>
              <c:showLegendKey val="0"/>
              <c:showVal val="1"/>
              <c:showCatName val="0"/>
              <c:showSerName val="0"/>
              <c:showPercent val="0"/>
              <c:showBubbleSize val="0"/>
            </c:dLbl>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val>
            <c:numRef>
              <c:f>итоги!$C$33</c:f>
              <c:numCache>
                <c:formatCode>#,##0</c:formatCode>
                <c:ptCount val="1"/>
                <c:pt idx="0">
                  <c:v>95140.910988036441</c:v>
                </c:pt>
              </c:numCache>
            </c:numRef>
          </c:val>
        </c:ser>
        <c:dLbls>
          <c:showLegendKey val="0"/>
          <c:showVal val="0"/>
          <c:showCatName val="0"/>
          <c:showSerName val="0"/>
          <c:showPercent val="0"/>
          <c:showBubbleSize val="0"/>
        </c:dLbls>
        <c:gapWidth val="150"/>
        <c:shape val="cone"/>
        <c:axId val="138533504"/>
        <c:axId val="138648576"/>
        <c:axId val="139203456"/>
      </c:bar3DChart>
      <c:catAx>
        <c:axId val="138533504"/>
        <c:scaling>
          <c:orientation val="minMax"/>
        </c:scaling>
        <c:delete val="1"/>
        <c:axPos val="b"/>
        <c:title>
          <c:tx>
            <c:rich>
              <a:bodyPr/>
              <a:lstStyle/>
              <a:p>
                <a:pPr>
                  <a:defRPr/>
                </a:pPr>
                <a:r>
                  <a:rPr lang="ru-RU"/>
                  <a:t>Этаж расположения</a:t>
                </a:r>
              </a:p>
            </c:rich>
          </c:tx>
          <c:overlay val="0"/>
        </c:title>
        <c:majorTickMark val="none"/>
        <c:minorTickMark val="none"/>
        <c:tickLblPos val="nextTo"/>
        <c:crossAx val="138648576"/>
        <c:crosses val="autoZero"/>
        <c:auto val="1"/>
        <c:lblAlgn val="ctr"/>
        <c:lblOffset val="100"/>
        <c:noMultiLvlLbl val="0"/>
      </c:catAx>
      <c:valAx>
        <c:axId val="138648576"/>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38533504"/>
        <c:crosses val="autoZero"/>
        <c:crossBetween val="between"/>
      </c:valAx>
      <c:serAx>
        <c:axId val="139203456"/>
        <c:scaling>
          <c:orientation val="minMax"/>
        </c:scaling>
        <c:delete val="0"/>
        <c:axPos val="b"/>
        <c:majorTickMark val="out"/>
        <c:minorTickMark val="none"/>
        <c:tickLblPos val="nextTo"/>
        <c:crossAx val="138648576"/>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Pt>
            <c:idx val="0"/>
            <c:invertIfNegative val="0"/>
            <c:bubble3D val="0"/>
            <c:spPr>
              <a:solidFill>
                <a:schemeClr val="accent6"/>
              </a:solidFill>
            </c:spPr>
          </c:dPt>
          <c:dPt>
            <c:idx val="2"/>
            <c:invertIfNegative val="0"/>
            <c:bubble3D val="0"/>
            <c:spPr>
              <a:solidFill>
                <a:schemeClr val="tx2">
                  <a:lumMod val="40000"/>
                  <a:lumOff val="60000"/>
                </a:schemeClr>
              </a:solidFill>
            </c:spPr>
          </c:dPt>
          <c:dLbls>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итоги!$A$26:$A$28</c:f>
              <c:strCache>
                <c:ptCount val="3"/>
                <c:pt idx="0">
                  <c:v>Кирпич</c:v>
                </c:pt>
                <c:pt idx="1">
                  <c:v>Монолит</c:v>
                </c:pt>
                <c:pt idx="2">
                  <c:v>Панель ж/б</c:v>
                </c:pt>
              </c:strCache>
            </c:strRef>
          </c:cat>
          <c:val>
            <c:numRef>
              <c:f>итоги!$C$26:$C$28</c:f>
              <c:numCache>
                <c:formatCode>#,##0</c:formatCode>
                <c:ptCount val="3"/>
                <c:pt idx="0">
                  <c:v>100063.12716084928</c:v>
                </c:pt>
                <c:pt idx="1">
                  <c:v>97577.89482600514</c:v>
                </c:pt>
                <c:pt idx="2">
                  <c:v>94007.1419829113</c:v>
                </c:pt>
              </c:numCache>
            </c:numRef>
          </c:val>
        </c:ser>
        <c:dLbls>
          <c:showLegendKey val="0"/>
          <c:showVal val="0"/>
          <c:showCatName val="0"/>
          <c:showSerName val="0"/>
          <c:showPercent val="0"/>
          <c:showBubbleSize val="0"/>
        </c:dLbls>
        <c:gapWidth val="150"/>
        <c:shape val="cylinder"/>
        <c:axId val="138746880"/>
        <c:axId val="138959488"/>
        <c:axId val="0"/>
      </c:bar3DChart>
      <c:catAx>
        <c:axId val="138746880"/>
        <c:scaling>
          <c:orientation val="minMax"/>
        </c:scaling>
        <c:delete val="0"/>
        <c:axPos val="b"/>
        <c:title>
          <c:tx>
            <c:rich>
              <a:bodyPr/>
              <a:lstStyle/>
              <a:p>
                <a:pPr>
                  <a:defRPr/>
                </a:pPr>
                <a:r>
                  <a:rPr lang="ru-RU"/>
                  <a:t>Материал наружных стен</a:t>
                </a:r>
              </a:p>
            </c:rich>
          </c:tx>
          <c:overlay val="0"/>
        </c:title>
        <c:majorTickMark val="none"/>
        <c:minorTickMark val="none"/>
        <c:tickLblPos val="nextTo"/>
        <c:crossAx val="138959488"/>
        <c:crosses val="autoZero"/>
        <c:auto val="1"/>
        <c:lblAlgn val="ctr"/>
        <c:lblOffset val="100"/>
        <c:noMultiLvlLbl val="0"/>
      </c:catAx>
      <c:valAx>
        <c:axId val="138959488"/>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387468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'табл-районы'!$B$2</c:f>
              <c:strCache>
                <c:ptCount val="1"/>
                <c:pt idx="0">
                  <c:v>Минимум</c:v>
                </c:pt>
              </c:strCache>
            </c:strRef>
          </c:tx>
          <c:invertIfNegative val="0"/>
          <c:cat>
            <c:strRef>
              <c:f>'табл-районы'!$A$3:$A$37</c:f>
              <c:strCache>
                <c:ptCount val="35"/>
                <c:pt idx="0">
                  <c:v>64, 71 мкр. </c:v>
                </c:pt>
                <c:pt idx="1">
                  <c:v>Баляева </c:v>
                </c:pt>
                <c:pt idx="2">
                  <c:v>БАМ </c:v>
                </c:pt>
                <c:pt idx="3">
                  <c:v>Борисенко </c:v>
                </c:pt>
                <c:pt idx="4">
                  <c:v>Весенняя</c:v>
                </c:pt>
                <c:pt idx="5">
                  <c:v>Вторая речка </c:v>
                </c:pt>
                <c:pt idx="6">
                  <c:v>Гайдамак </c:v>
                </c:pt>
                <c:pt idx="7">
                  <c:v>Горностай</c:v>
                </c:pt>
                <c:pt idx="8">
                  <c:v>Заря </c:v>
                </c:pt>
                <c:pt idx="9">
                  <c:v>Луговая </c:v>
                </c:pt>
                <c:pt idx="10">
                  <c:v>Некрасовская </c:v>
                </c:pt>
                <c:pt idx="11">
                  <c:v>о. Попова</c:v>
                </c:pt>
                <c:pt idx="12">
                  <c:v>о. Русский </c:v>
                </c:pt>
                <c:pt idx="13">
                  <c:v>ст. Океанская </c:v>
                </c:pt>
                <c:pt idx="14">
                  <c:v>Патрокл </c:v>
                </c:pt>
                <c:pt idx="15">
                  <c:v>Первая речка </c:v>
                </c:pt>
                <c:pt idx="16">
                  <c:v>п-ов Песчаный</c:v>
                </c:pt>
                <c:pt idx="17">
                  <c:v>Пригород </c:v>
                </c:pt>
                <c:pt idx="18">
                  <c:v>ст. Садгород </c:v>
                </c:pt>
                <c:pt idx="19">
                  <c:v>Сахарный Ключ</c:v>
                </c:pt>
                <c:pt idx="20">
                  <c:v>ст. Седанка </c:v>
                </c:pt>
                <c:pt idx="21">
                  <c:v>Снеговая </c:v>
                </c:pt>
                <c:pt idx="22">
                  <c:v>Снеговая Падь </c:v>
                </c:pt>
                <c:pt idx="23">
                  <c:v>ст.Спутник</c:v>
                </c:pt>
                <c:pt idx="24">
                  <c:v>Столетие </c:v>
                </c:pt>
                <c:pt idx="25">
                  <c:v>Тихая </c:v>
                </c:pt>
                <c:pt idx="26">
                  <c:v>Толстого (Буссе) </c:v>
                </c:pt>
                <c:pt idx="27">
                  <c:v>Третья рабочая </c:v>
                </c:pt>
                <c:pt idx="28">
                  <c:v>Трудовая </c:v>
                </c:pt>
                <c:pt idx="29">
                  <c:v>п.Трудовое </c:v>
                </c:pt>
                <c:pt idx="30">
                  <c:v>ст.Угольная </c:v>
                </c:pt>
                <c:pt idx="31">
                  <c:v>Фадеева </c:v>
                </c:pt>
                <c:pt idx="32">
                  <c:v>Центр </c:v>
                </c:pt>
                <c:pt idx="33">
                  <c:v>Чуркин </c:v>
                </c:pt>
                <c:pt idx="34">
                  <c:v>Эгершельд </c:v>
                </c:pt>
              </c:strCache>
            </c:strRef>
          </c:cat>
          <c:val>
            <c:numRef>
              <c:f>'табл-районы'!$B$3:$B$37</c:f>
              <c:numCache>
                <c:formatCode>#,##0</c:formatCode>
                <c:ptCount val="35"/>
                <c:pt idx="0">
                  <c:v>14869.565217391304</c:v>
                </c:pt>
                <c:pt idx="1">
                  <c:v>40322.580645161288</c:v>
                </c:pt>
                <c:pt idx="2">
                  <c:v>38571.428571428572</c:v>
                </c:pt>
                <c:pt idx="3">
                  <c:v>42857.142857142855</c:v>
                </c:pt>
                <c:pt idx="4">
                  <c:v>51315.789473684214</c:v>
                </c:pt>
                <c:pt idx="5">
                  <c:v>32876.71232876712</c:v>
                </c:pt>
                <c:pt idx="6">
                  <c:v>46875</c:v>
                </c:pt>
                <c:pt idx="7">
                  <c:v>52980</c:v>
                </c:pt>
                <c:pt idx="8">
                  <c:v>43181.818181818184</c:v>
                </c:pt>
                <c:pt idx="9">
                  <c:v>48760.875</c:v>
                </c:pt>
                <c:pt idx="10">
                  <c:v>61333.333333333336</c:v>
                </c:pt>
                <c:pt idx="11">
                  <c:v>18437.5</c:v>
                </c:pt>
                <c:pt idx="12">
                  <c:v>35000</c:v>
                </c:pt>
                <c:pt idx="13">
                  <c:v>31758.395161290322</c:v>
                </c:pt>
                <c:pt idx="14">
                  <c:v>62222.222222222219</c:v>
                </c:pt>
                <c:pt idx="15">
                  <c:v>45132.743362831861</c:v>
                </c:pt>
                <c:pt idx="16">
                  <c:v>27586.206896551725</c:v>
                </c:pt>
                <c:pt idx="17">
                  <c:v>9672.1311475409839</c:v>
                </c:pt>
                <c:pt idx="18">
                  <c:v>43529.411764705881</c:v>
                </c:pt>
                <c:pt idx="19">
                  <c:v>74418.604651162794</c:v>
                </c:pt>
                <c:pt idx="20">
                  <c:v>46551.724137931036</c:v>
                </c:pt>
                <c:pt idx="21">
                  <c:v>51388.888888888891</c:v>
                </c:pt>
                <c:pt idx="22">
                  <c:v>71511.627906976748</c:v>
                </c:pt>
                <c:pt idx="23">
                  <c:v>23802.816901408452</c:v>
                </c:pt>
                <c:pt idx="24">
                  <c:v>47413.793103448275</c:v>
                </c:pt>
                <c:pt idx="25">
                  <c:v>8000</c:v>
                </c:pt>
                <c:pt idx="26">
                  <c:v>62686.567164179105</c:v>
                </c:pt>
                <c:pt idx="27">
                  <c:v>37704.918032786882</c:v>
                </c:pt>
                <c:pt idx="28">
                  <c:v>31034.482758620688</c:v>
                </c:pt>
                <c:pt idx="29">
                  <c:v>10416.666666666666</c:v>
                </c:pt>
                <c:pt idx="30">
                  <c:v>55172.413793103449</c:v>
                </c:pt>
                <c:pt idx="31">
                  <c:v>44435.483870967742</c:v>
                </c:pt>
                <c:pt idx="32">
                  <c:v>50000</c:v>
                </c:pt>
                <c:pt idx="33">
                  <c:v>14583.333333333334</c:v>
                </c:pt>
                <c:pt idx="34">
                  <c:v>40476.190476190473</c:v>
                </c:pt>
              </c:numCache>
            </c:numRef>
          </c:val>
        </c:ser>
        <c:ser>
          <c:idx val="1"/>
          <c:order val="1"/>
          <c:tx>
            <c:strRef>
              <c:f>'табл-районы'!$C$2</c:f>
              <c:strCache>
                <c:ptCount val="1"/>
                <c:pt idx="0">
                  <c:v>Средняя</c:v>
                </c:pt>
              </c:strCache>
            </c:strRef>
          </c:tx>
          <c:invertIfNegative val="0"/>
          <c:cat>
            <c:strRef>
              <c:f>'табл-районы'!$A$3:$A$37</c:f>
              <c:strCache>
                <c:ptCount val="35"/>
                <c:pt idx="0">
                  <c:v>64, 71 мкр. </c:v>
                </c:pt>
                <c:pt idx="1">
                  <c:v>Баляева </c:v>
                </c:pt>
                <c:pt idx="2">
                  <c:v>БАМ </c:v>
                </c:pt>
                <c:pt idx="3">
                  <c:v>Борисенко </c:v>
                </c:pt>
                <c:pt idx="4">
                  <c:v>Весенняя</c:v>
                </c:pt>
                <c:pt idx="5">
                  <c:v>Вторая речка </c:v>
                </c:pt>
                <c:pt idx="6">
                  <c:v>Гайдамак </c:v>
                </c:pt>
                <c:pt idx="7">
                  <c:v>Горностай</c:v>
                </c:pt>
                <c:pt idx="8">
                  <c:v>Заря </c:v>
                </c:pt>
                <c:pt idx="9">
                  <c:v>Луговая </c:v>
                </c:pt>
                <c:pt idx="10">
                  <c:v>Некрасовская </c:v>
                </c:pt>
                <c:pt idx="11">
                  <c:v>о. Попова</c:v>
                </c:pt>
                <c:pt idx="12">
                  <c:v>о. Русский </c:v>
                </c:pt>
                <c:pt idx="13">
                  <c:v>ст. Океанская </c:v>
                </c:pt>
                <c:pt idx="14">
                  <c:v>Патрокл </c:v>
                </c:pt>
                <c:pt idx="15">
                  <c:v>Первая речка </c:v>
                </c:pt>
                <c:pt idx="16">
                  <c:v>п-ов Песчаный</c:v>
                </c:pt>
                <c:pt idx="17">
                  <c:v>Пригород </c:v>
                </c:pt>
                <c:pt idx="18">
                  <c:v>ст. Садгород </c:v>
                </c:pt>
                <c:pt idx="19">
                  <c:v>Сахарный Ключ</c:v>
                </c:pt>
                <c:pt idx="20">
                  <c:v>ст. Седанка </c:v>
                </c:pt>
                <c:pt idx="21">
                  <c:v>Снеговая </c:v>
                </c:pt>
                <c:pt idx="22">
                  <c:v>Снеговая Падь </c:v>
                </c:pt>
                <c:pt idx="23">
                  <c:v>ст.Спутник</c:v>
                </c:pt>
                <c:pt idx="24">
                  <c:v>Столетие </c:v>
                </c:pt>
                <c:pt idx="25">
                  <c:v>Тихая </c:v>
                </c:pt>
                <c:pt idx="26">
                  <c:v>Толстого (Буссе) </c:v>
                </c:pt>
                <c:pt idx="27">
                  <c:v>Третья рабочая </c:v>
                </c:pt>
                <c:pt idx="28">
                  <c:v>Трудовая </c:v>
                </c:pt>
                <c:pt idx="29">
                  <c:v>п.Трудовое </c:v>
                </c:pt>
                <c:pt idx="30">
                  <c:v>ст.Угольная </c:v>
                </c:pt>
                <c:pt idx="31">
                  <c:v>Фадеева </c:v>
                </c:pt>
                <c:pt idx="32">
                  <c:v>Центр </c:v>
                </c:pt>
                <c:pt idx="33">
                  <c:v>Чуркин </c:v>
                </c:pt>
                <c:pt idx="34">
                  <c:v>Эгершельд </c:v>
                </c:pt>
              </c:strCache>
            </c:strRef>
          </c:cat>
          <c:val>
            <c:numRef>
              <c:f>'табл-районы'!$C$3:$C$37</c:f>
              <c:numCache>
                <c:formatCode>#,##0</c:formatCode>
                <c:ptCount val="35"/>
                <c:pt idx="0">
                  <c:v>86119.944224531879</c:v>
                </c:pt>
                <c:pt idx="1">
                  <c:v>90704.038755795642</c:v>
                </c:pt>
                <c:pt idx="2">
                  <c:v>95819.671513235779</c:v>
                </c:pt>
                <c:pt idx="3">
                  <c:v>87974.33893790374</c:v>
                </c:pt>
                <c:pt idx="4">
                  <c:v>74659.120193910567</c:v>
                </c:pt>
                <c:pt idx="5">
                  <c:v>99246.406065325835</c:v>
                </c:pt>
                <c:pt idx="6">
                  <c:v>92882.214189281513</c:v>
                </c:pt>
                <c:pt idx="7">
                  <c:v>64398.47763347764</c:v>
                </c:pt>
                <c:pt idx="8">
                  <c:v>86579.286415706403</c:v>
                </c:pt>
                <c:pt idx="9">
                  <c:v>88753.165092505558</c:v>
                </c:pt>
                <c:pt idx="10">
                  <c:v>111534.53738772331</c:v>
                </c:pt>
                <c:pt idx="11">
                  <c:v>43209.586414480793</c:v>
                </c:pt>
                <c:pt idx="12">
                  <c:v>65349.707978412713</c:v>
                </c:pt>
                <c:pt idx="13">
                  <c:v>84221.185465020346</c:v>
                </c:pt>
                <c:pt idx="14">
                  <c:v>86800.944039420763</c:v>
                </c:pt>
                <c:pt idx="15">
                  <c:v>119777.6099731999</c:v>
                </c:pt>
                <c:pt idx="16">
                  <c:v>35459.770114942527</c:v>
                </c:pt>
                <c:pt idx="17">
                  <c:v>80657.417039585169</c:v>
                </c:pt>
                <c:pt idx="18">
                  <c:v>75022.609408268589</c:v>
                </c:pt>
                <c:pt idx="19">
                  <c:v>75348.837209302321</c:v>
                </c:pt>
                <c:pt idx="20">
                  <c:v>98893.100321618564</c:v>
                </c:pt>
                <c:pt idx="21">
                  <c:v>79924.142037490426</c:v>
                </c:pt>
                <c:pt idx="22">
                  <c:v>89551.751119418535</c:v>
                </c:pt>
                <c:pt idx="23">
                  <c:v>56180.336923501789</c:v>
                </c:pt>
                <c:pt idx="24">
                  <c:v>101976.31762869496</c:v>
                </c:pt>
                <c:pt idx="25">
                  <c:v>89833.596817406826</c:v>
                </c:pt>
                <c:pt idx="26">
                  <c:v>101201.35309068489</c:v>
                </c:pt>
                <c:pt idx="27">
                  <c:v>101081.74703798548</c:v>
                </c:pt>
                <c:pt idx="28">
                  <c:v>85570.016411706776</c:v>
                </c:pt>
                <c:pt idx="29">
                  <c:v>80099.042986218366</c:v>
                </c:pt>
                <c:pt idx="30">
                  <c:v>78618.634789595293</c:v>
                </c:pt>
                <c:pt idx="31">
                  <c:v>96157.33676919734</c:v>
                </c:pt>
                <c:pt idx="32">
                  <c:v>115509.78042881364</c:v>
                </c:pt>
                <c:pt idx="33">
                  <c:v>90662.835659069664</c:v>
                </c:pt>
                <c:pt idx="34">
                  <c:v>106344.39359346687</c:v>
                </c:pt>
              </c:numCache>
            </c:numRef>
          </c:val>
        </c:ser>
        <c:ser>
          <c:idx val="2"/>
          <c:order val="2"/>
          <c:tx>
            <c:strRef>
              <c:f>'табл-районы'!$D$2</c:f>
              <c:strCache>
                <c:ptCount val="1"/>
                <c:pt idx="0">
                  <c:v>Максимум</c:v>
                </c:pt>
              </c:strCache>
            </c:strRef>
          </c:tx>
          <c:invertIfNegative val="0"/>
          <c:cat>
            <c:strRef>
              <c:f>'табл-районы'!$A$3:$A$37</c:f>
              <c:strCache>
                <c:ptCount val="35"/>
                <c:pt idx="0">
                  <c:v>64, 71 мкр. </c:v>
                </c:pt>
                <c:pt idx="1">
                  <c:v>Баляева </c:v>
                </c:pt>
                <c:pt idx="2">
                  <c:v>БАМ </c:v>
                </c:pt>
                <c:pt idx="3">
                  <c:v>Борисенко </c:v>
                </c:pt>
                <c:pt idx="4">
                  <c:v>Весенняя</c:v>
                </c:pt>
                <c:pt idx="5">
                  <c:v>Вторая речка </c:v>
                </c:pt>
                <c:pt idx="6">
                  <c:v>Гайдамак </c:v>
                </c:pt>
                <c:pt idx="7">
                  <c:v>Горностай</c:v>
                </c:pt>
                <c:pt idx="8">
                  <c:v>Заря </c:v>
                </c:pt>
                <c:pt idx="9">
                  <c:v>Луговая </c:v>
                </c:pt>
                <c:pt idx="10">
                  <c:v>Некрасовская </c:v>
                </c:pt>
                <c:pt idx="11">
                  <c:v>о. Попова</c:v>
                </c:pt>
                <c:pt idx="12">
                  <c:v>о. Русский </c:v>
                </c:pt>
                <c:pt idx="13">
                  <c:v>ст. Океанская </c:v>
                </c:pt>
                <c:pt idx="14">
                  <c:v>Патрокл </c:v>
                </c:pt>
                <c:pt idx="15">
                  <c:v>Первая речка </c:v>
                </c:pt>
                <c:pt idx="16">
                  <c:v>п-ов Песчаный</c:v>
                </c:pt>
                <c:pt idx="17">
                  <c:v>Пригород </c:v>
                </c:pt>
                <c:pt idx="18">
                  <c:v>ст. Садгород </c:v>
                </c:pt>
                <c:pt idx="19">
                  <c:v>Сахарный Ключ</c:v>
                </c:pt>
                <c:pt idx="20">
                  <c:v>ст. Седанка </c:v>
                </c:pt>
                <c:pt idx="21">
                  <c:v>Снеговая </c:v>
                </c:pt>
                <c:pt idx="22">
                  <c:v>Снеговая Падь </c:v>
                </c:pt>
                <c:pt idx="23">
                  <c:v>ст.Спутник</c:v>
                </c:pt>
                <c:pt idx="24">
                  <c:v>Столетие </c:v>
                </c:pt>
                <c:pt idx="25">
                  <c:v>Тихая </c:v>
                </c:pt>
                <c:pt idx="26">
                  <c:v>Толстого (Буссе) </c:v>
                </c:pt>
                <c:pt idx="27">
                  <c:v>Третья рабочая </c:v>
                </c:pt>
                <c:pt idx="28">
                  <c:v>Трудовая </c:v>
                </c:pt>
                <c:pt idx="29">
                  <c:v>п.Трудовое </c:v>
                </c:pt>
                <c:pt idx="30">
                  <c:v>ст.Угольная </c:v>
                </c:pt>
                <c:pt idx="31">
                  <c:v>Фадеева </c:v>
                </c:pt>
                <c:pt idx="32">
                  <c:v>Центр </c:v>
                </c:pt>
                <c:pt idx="33">
                  <c:v>Чуркин </c:v>
                </c:pt>
                <c:pt idx="34">
                  <c:v>Эгершельд </c:v>
                </c:pt>
              </c:strCache>
            </c:strRef>
          </c:cat>
          <c:val>
            <c:numRef>
              <c:f>'табл-районы'!$D$3:$D$37</c:f>
              <c:numCache>
                <c:formatCode>#,##0</c:formatCode>
                <c:ptCount val="35"/>
                <c:pt idx="0">
                  <c:v>166666.66666666666</c:v>
                </c:pt>
                <c:pt idx="1">
                  <c:v>135714.28571428571</c:v>
                </c:pt>
                <c:pt idx="2">
                  <c:v>143000</c:v>
                </c:pt>
                <c:pt idx="3">
                  <c:v>125000</c:v>
                </c:pt>
                <c:pt idx="4">
                  <c:v>87878.787878787873</c:v>
                </c:pt>
                <c:pt idx="5">
                  <c:v>232558.11627906977</c:v>
                </c:pt>
                <c:pt idx="6">
                  <c:v>144897.95918367346</c:v>
                </c:pt>
                <c:pt idx="7">
                  <c:v>71875</c:v>
                </c:pt>
                <c:pt idx="8">
                  <c:v>127777.77777777778</c:v>
                </c:pt>
                <c:pt idx="9">
                  <c:v>161290.32258064515</c:v>
                </c:pt>
                <c:pt idx="10">
                  <c:v>183333.33333333334</c:v>
                </c:pt>
                <c:pt idx="11">
                  <c:v>98484.84848484848</c:v>
                </c:pt>
                <c:pt idx="12">
                  <c:v>84827.586206896551</c:v>
                </c:pt>
                <c:pt idx="13">
                  <c:v>147272.72727272726</c:v>
                </c:pt>
                <c:pt idx="14">
                  <c:v>141111.11111111112</c:v>
                </c:pt>
                <c:pt idx="15">
                  <c:v>327272.72727272729</c:v>
                </c:pt>
                <c:pt idx="16">
                  <c:v>43333.333333333336</c:v>
                </c:pt>
                <c:pt idx="17">
                  <c:v>113793.10344827586</c:v>
                </c:pt>
                <c:pt idx="18">
                  <c:v>104285.71428571429</c:v>
                </c:pt>
                <c:pt idx="19">
                  <c:v>76279.069767441862</c:v>
                </c:pt>
                <c:pt idx="20">
                  <c:v>167187.5</c:v>
                </c:pt>
                <c:pt idx="21">
                  <c:v>118181.81818181818</c:v>
                </c:pt>
                <c:pt idx="22">
                  <c:v>118867.92452830188</c:v>
                </c:pt>
                <c:pt idx="23">
                  <c:v>83333.333333333328</c:v>
                </c:pt>
                <c:pt idx="24">
                  <c:v>192500</c:v>
                </c:pt>
                <c:pt idx="25">
                  <c:v>127500</c:v>
                </c:pt>
                <c:pt idx="26">
                  <c:v>160714.28571428571</c:v>
                </c:pt>
                <c:pt idx="27">
                  <c:v>208510.63829787233</c:v>
                </c:pt>
                <c:pt idx="28">
                  <c:v>132142.85714285713</c:v>
                </c:pt>
                <c:pt idx="29">
                  <c:v>375000</c:v>
                </c:pt>
                <c:pt idx="30">
                  <c:v>100000</c:v>
                </c:pt>
                <c:pt idx="31">
                  <c:v>136363.63636363635</c:v>
                </c:pt>
                <c:pt idx="32">
                  <c:v>427687.5</c:v>
                </c:pt>
                <c:pt idx="33">
                  <c:v>157500</c:v>
                </c:pt>
                <c:pt idx="34">
                  <c:v>491500</c:v>
                </c:pt>
              </c:numCache>
            </c:numRef>
          </c:val>
        </c:ser>
        <c:dLbls>
          <c:showLegendKey val="0"/>
          <c:showVal val="0"/>
          <c:showCatName val="0"/>
          <c:showSerName val="0"/>
          <c:showPercent val="0"/>
          <c:showBubbleSize val="0"/>
        </c:dLbls>
        <c:gapWidth val="150"/>
        <c:shape val="box"/>
        <c:axId val="139082368"/>
        <c:axId val="139256576"/>
        <c:axId val="0"/>
      </c:bar3DChart>
      <c:catAx>
        <c:axId val="139082368"/>
        <c:scaling>
          <c:orientation val="minMax"/>
        </c:scaling>
        <c:delete val="0"/>
        <c:axPos val="b"/>
        <c:title>
          <c:tx>
            <c:rich>
              <a:bodyPr/>
              <a:lstStyle/>
              <a:p>
                <a:pPr>
                  <a:defRPr/>
                </a:pPr>
                <a:r>
                  <a:rPr lang="ru-RU"/>
                  <a:t>Районы г. Владивостока</a:t>
                </a:r>
              </a:p>
            </c:rich>
          </c:tx>
          <c:overlay val="0"/>
        </c:title>
        <c:numFmt formatCode="General" sourceLinked="1"/>
        <c:majorTickMark val="none"/>
        <c:minorTickMark val="none"/>
        <c:tickLblPos val="nextTo"/>
        <c:crossAx val="139256576"/>
        <c:crosses val="autoZero"/>
        <c:auto val="1"/>
        <c:lblAlgn val="ctr"/>
        <c:lblOffset val="100"/>
        <c:noMultiLvlLbl val="0"/>
      </c:catAx>
      <c:valAx>
        <c:axId val="139256576"/>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crossAx val="13908236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16704672708757E-2"/>
          <c:y val="0.11750455328352695"/>
          <c:w val="0.94915132556607673"/>
          <c:h val="0.86478838568186178"/>
        </c:manualLayout>
      </c:layout>
      <c:barChart>
        <c:barDir val="col"/>
        <c:grouping val="clustered"/>
        <c:varyColors val="0"/>
        <c:ser>
          <c:idx val="0"/>
          <c:order val="0"/>
          <c:invertIfNegative val="0"/>
          <c:dPt>
            <c:idx val="0"/>
            <c:invertIfNegative val="0"/>
            <c:bubble3D val="0"/>
            <c:spPr>
              <a:solidFill>
                <a:schemeClr val="accent6"/>
              </a:solidFill>
            </c:spPr>
          </c:dPt>
          <c:dPt>
            <c:idx val="1"/>
            <c:invertIfNegative val="0"/>
            <c:bubble3D val="0"/>
            <c:spPr>
              <a:solidFill>
                <a:schemeClr val="accent6"/>
              </a:solidFill>
            </c:spPr>
          </c:dPt>
          <c:dPt>
            <c:idx val="2"/>
            <c:invertIfNegative val="0"/>
            <c:bubble3D val="0"/>
            <c:spPr>
              <a:solidFill>
                <a:schemeClr val="accent6"/>
              </a:solidFill>
            </c:spPr>
          </c:dPt>
          <c:dPt>
            <c:idx val="3"/>
            <c:invertIfNegative val="0"/>
            <c:bubble3D val="0"/>
            <c:spPr>
              <a:solidFill>
                <a:schemeClr val="accent6"/>
              </a:solidFill>
            </c:spPr>
          </c:dPt>
          <c:dPt>
            <c:idx val="4"/>
            <c:invertIfNegative val="0"/>
            <c:bubble3D val="0"/>
            <c:spPr>
              <a:solidFill>
                <a:schemeClr val="accent6"/>
              </a:solidFill>
            </c:spPr>
          </c:dPt>
          <c:dPt>
            <c:idx val="5"/>
            <c:invertIfNegative val="0"/>
            <c:bubble3D val="0"/>
            <c:spPr>
              <a:solidFill>
                <a:schemeClr val="accent2"/>
              </a:solidFill>
            </c:spPr>
          </c:dPt>
          <c:dPt>
            <c:idx val="6"/>
            <c:invertIfNegative val="0"/>
            <c:bubble3D val="0"/>
            <c:spPr>
              <a:solidFill>
                <a:schemeClr val="accent6"/>
              </a:solidFill>
            </c:spPr>
          </c:dPt>
          <c:dPt>
            <c:idx val="7"/>
            <c:invertIfNegative val="0"/>
            <c:bubble3D val="0"/>
            <c:spPr>
              <a:solidFill>
                <a:schemeClr val="accent6"/>
              </a:solidFill>
            </c:spPr>
          </c:dPt>
          <c:dPt>
            <c:idx val="8"/>
            <c:invertIfNegative val="0"/>
            <c:bubble3D val="0"/>
            <c:spPr>
              <a:solidFill>
                <a:schemeClr val="accent6"/>
              </a:solidFill>
            </c:spPr>
          </c:dPt>
          <c:dPt>
            <c:idx val="9"/>
            <c:invertIfNegative val="0"/>
            <c:bubble3D val="0"/>
            <c:spPr>
              <a:solidFill>
                <a:schemeClr val="accent6"/>
              </a:solidFill>
            </c:spPr>
          </c:dPt>
          <c:dPt>
            <c:idx val="10"/>
            <c:invertIfNegative val="0"/>
            <c:bubble3D val="0"/>
            <c:spPr>
              <a:solidFill>
                <a:schemeClr val="accent2"/>
              </a:solidFill>
            </c:spPr>
          </c:dPt>
          <c:dPt>
            <c:idx val="11"/>
            <c:invertIfNegative val="0"/>
            <c:bubble3D val="0"/>
            <c:spPr>
              <a:solidFill>
                <a:schemeClr val="accent6"/>
              </a:solidFill>
            </c:spPr>
          </c:dPt>
          <c:dPt>
            <c:idx val="12"/>
            <c:invertIfNegative val="0"/>
            <c:bubble3D val="0"/>
            <c:spPr>
              <a:solidFill>
                <a:schemeClr val="accent6"/>
              </a:solidFill>
            </c:spPr>
          </c:dPt>
          <c:dPt>
            <c:idx val="13"/>
            <c:invertIfNegative val="0"/>
            <c:bubble3D val="0"/>
            <c:spPr>
              <a:solidFill>
                <a:schemeClr val="accent6"/>
              </a:solidFill>
            </c:spPr>
          </c:dPt>
          <c:dPt>
            <c:idx val="14"/>
            <c:invertIfNegative val="0"/>
            <c:bubble3D val="0"/>
            <c:spPr>
              <a:solidFill>
                <a:schemeClr val="accent6"/>
              </a:solidFill>
            </c:spPr>
          </c:dPt>
          <c:dPt>
            <c:idx val="15"/>
            <c:invertIfNegative val="0"/>
            <c:bubble3D val="0"/>
            <c:spPr>
              <a:solidFill>
                <a:schemeClr val="accent2"/>
              </a:solidFill>
            </c:spPr>
          </c:dPt>
          <c:dPt>
            <c:idx val="16"/>
            <c:invertIfNegative val="0"/>
            <c:bubble3D val="0"/>
            <c:spPr>
              <a:solidFill>
                <a:schemeClr val="accent6"/>
              </a:solidFill>
            </c:spPr>
          </c:dPt>
          <c:dPt>
            <c:idx val="17"/>
            <c:invertIfNegative val="0"/>
            <c:bubble3D val="0"/>
            <c:spPr>
              <a:solidFill>
                <a:schemeClr val="accent6"/>
              </a:solidFill>
            </c:spPr>
          </c:dPt>
          <c:dPt>
            <c:idx val="18"/>
            <c:invertIfNegative val="0"/>
            <c:bubble3D val="0"/>
            <c:spPr>
              <a:solidFill>
                <a:schemeClr val="accent6"/>
              </a:solidFill>
            </c:spPr>
          </c:dPt>
          <c:dPt>
            <c:idx val="19"/>
            <c:invertIfNegative val="0"/>
            <c:bubble3D val="0"/>
            <c:spPr>
              <a:solidFill>
                <a:schemeClr val="accent6"/>
              </a:solidFill>
            </c:spPr>
          </c:dPt>
          <c:dPt>
            <c:idx val="20"/>
            <c:invertIfNegative val="0"/>
            <c:bubble3D val="0"/>
            <c:spPr>
              <a:solidFill>
                <a:schemeClr val="accent2"/>
              </a:solidFill>
            </c:spPr>
          </c:dPt>
          <c:dPt>
            <c:idx val="21"/>
            <c:invertIfNegative val="0"/>
            <c:bubble3D val="0"/>
            <c:spPr>
              <a:solidFill>
                <a:schemeClr val="accent6"/>
              </a:solidFill>
            </c:spPr>
          </c:dPt>
          <c:dPt>
            <c:idx val="22"/>
            <c:invertIfNegative val="0"/>
            <c:bubble3D val="0"/>
            <c:spPr>
              <a:solidFill>
                <a:schemeClr val="accent6"/>
              </a:solidFill>
            </c:spPr>
          </c:dPt>
          <c:dPt>
            <c:idx val="23"/>
            <c:invertIfNegative val="0"/>
            <c:bubble3D val="0"/>
            <c:spPr>
              <a:solidFill>
                <a:schemeClr val="accent6"/>
              </a:solidFill>
            </c:spPr>
          </c:dPt>
          <c:dPt>
            <c:idx val="24"/>
            <c:invertIfNegative val="0"/>
            <c:bubble3D val="0"/>
            <c:spPr>
              <a:solidFill>
                <a:schemeClr val="accent2"/>
              </a:solidFill>
            </c:spPr>
          </c:dPt>
          <c:dPt>
            <c:idx val="25"/>
            <c:invertIfNegative val="0"/>
            <c:bubble3D val="0"/>
            <c:spPr>
              <a:solidFill>
                <a:schemeClr val="accent6"/>
              </a:solidFill>
            </c:spPr>
          </c:dPt>
          <c:dPt>
            <c:idx val="26"/>
            <c:invertIfNegative val="0"/>
            <c:bubble3D val="0"/>
            <c:spPr>
              <a:solidFill>
                <a:schemeClr val="accent2"/>
              </a:solidFill>
            </c:spPr>
          </c:dPt>
          <c:dPt>
            <c:idx val="27"/>
            <c:invertIfNegative val="0"/>
            <c:bubble3D val="0"/>
            <c:spPr>
              <a:solidFill>
                <a:schemeClr val="accent2"/>
              </a:solidFill>
            </c:spPr>
          </c:dPt>
          <c:dPt>
            <c:idx val="28"/>
            <c:invertIfNegative val="0"/>
            <c:bubble3D val="0"/>
            <c:spPr>
              <a:solidFill>
                <a:schemeClr val="accent6"/>
              </a:solidFill>
            </c:spPr>
          </c:dPt>
          <c:dPt>
            <c:idx val="29"/>
            <c:invertIfNegative val="0"/>
            <c:bubble3D val="0"/>
            <c:spPr>
              <a:solidFill>
                <a:schemeClr val="accent6"/>
              </a:solidFill>
            </c:spPr>
          </c:dPt>
          <c:dPt>
            <c:idx val="30"/>
            <c:invertIfNegative val="0"/>
            <c:bubble3D val="0"/>
            <c:spPr>
              <a:solidFill>
                <a:schemeClr val="accent6"/>
              </a:solidFill>
            </c:spPr>
          </c:dPt>
          <c:dPt>
            <c:idx val="31"/>
            <c:invertIfNegative val="0"/>
            <c:bubble3D val="0"/>
            <c:spPr>
              <a:solidFill>
                <a:schemeClr val="accent6"/>
              </a:solidFill>
            </c:spPr>
          </c:dPt>
          <c:dPt>
            <c:idx val="32"/>
            <c:invertIfNegative val="0"/>
            <c:bubble3D val="0"/>
            <c:spPr>
              <a:solidFill>
                <a:schemeClr val="accent2"/>
              </a:solidFill>
            </c:spPr>
          </c:dPt>
          <c:dPt>
            <c:idx val="33"/>
            <c:invertIfNegative val="0"/>
            <c:bubble3D val="0"/>
            <c:spPr>
              <a:solidFill>
                <a:schemeClr val="accent6"/>
              </a:solidFill>
            </c:spPr>
          </c:dPt>
          <c:dPt>
            <c:idx val="34"/>
            <c:invertIfNegative val="0"/>
            <c:bubble3D val="0"/>
            <c:spPr>
              <a:solidFill>
                <a:schemeClr val="accent2"/>
              </a:solidFill>
            </c:spPr>
          </c:dPt>
          <c:cat>
            <c:strRef>
              <c:f>'табл-районы'!$A$3:$A$37</c:f>
              <c:strCache>
                <c:ptCount val="35"/>
                <c:pt idx="0">
                  <c:v>64, 71 мкр. </c:v>
                </c:pt>
                <c:pt idx="1">
                  <c:v>Баляева </c:v>
                </c:pt>
                <c:pt idx="2">
                  <c:v>БАМ </c:v>
                </c:pt>
                <c:pt idx="3">
                  <c:v>Борисенко </c:v>
                </c:pt>
                <c:pt idx="4">
                  <c:v>Весенняя</c:v>
                </c:pt>
                <c:pt idx="5">
                  <c:v>Вторая речка </c:v>
                </c:pt>
                <c:pt idx="6">
                  <c:v>Гайдамак </c:v>
                </c:pt>
                <c:pt idx="7">
                  <c:v>Горностай</c:v>
                </c:pt>
                <c:pt idx="8">
                  <c:v>Заря </c:v>
                </c:pt>
                <c:pt idx="9">
                  <c:v>Луговая </c:v>
                </c:pt>
                <c:pt idx="10">
                  <c:v>Некрасовская </c:v>
                </c:pt>
                <c:pt idx="11">
                  <c:v>о. Попова</c:v>
                </c:pt>
                <c:pt idx="12">
                  <c:v>о. Русский </c:v>
                </c:pt>
                <c:pt idx="13">
                  <c:v>ст. Океанская </c:v>
                </c:pt>
                <c:pt idx="14">
                  <c:v>Патрокл </c:v>
                </c:pt>
                <c:pt idx="15">
                  <c:v>Первая речка </c:v>
                </c:pt>
                <c:pt idx="16">
                  <c:v>п-ов Песчаный</c:v>
                </c:pt>
                <c:pt idx="17">
                  <c:v>Пригород </c:v>
                </c:pt>
                <c:pt idx="18">
                  <c:v>ст. Садгород </c:v>
                </c:pt>
                <c:pt idx="19">
                  <c:v>Сахарный Ключ</c:v>
                </c:pt>
                <c:pt idx="20">
                  <c:v>ст. Седанка </c:v>
                </c:pt>
                <c:pt idx="21">
                  <c:v>Снеговая </c:v>
                </c:pt>
                <c:pt idx="22">
                  <c:v>Снеговая Падь </c:v>
                </c:pt>
                <c:pt idx="23">
                  <c:v>ст.Спутник</c:v>
                </c:pt>
                <c:pt idx="24">
                  <c:v>Столетие </c:v>
                </c:pt>
                <c:pt idx="25">
                  <c:v>Тихая </c:v>
                </c:pt>
                <c:pt idx="26">
                  <c:v>Толстого (Буссе) </c:v>
                </c:pt>
                <c:pt idx="27">
                  <c:v>Третья рабочая </c:v>
                </c:pt>
                <c:pt idx="28">
                  <c:v>Трудовая </c:v>
                </c:pt>
                <c:pt idx="29">
                  <c:v>п.Трудовое </c:v>
                </c:pt>
                <c:pt idx="30">
                  <c:v>ст.Угольная </c:v>
                </c:pt>
                <c:pt idx="31">
                  <c:v>Фадеева </c:v>
                </c:pt>
                <c:pt idx="32">
                  <c:v>Центр </c:v>
                </c:pt>
                <c:pt idx="33">
                  <c:v>Чуркин </c:v>
                </c:pt>
                <c:pt idx="34">
                  <c:v>Эгершельд </c:v>
                </c:pt>
              </c:strCache>
            </c:strRef>
          </c:cat>
          <c:val>
            <c:numRef>
              <c:f>'табл-районы'!$H$3:$H$37</c:f>
              <c:numCache>
                <c:formatCode>0.00%</c:formatCode>
                <c:ptCount val="35"/>
                <c:pt idx="0">
                  <c:v>-0.11151101469430236</c:v>
                </c:pt>
                <c:pt idx="1">
                  <c:v>-6.421746921767002E-2</c:v>
                </c:pt>
                <c:pt idx="2">
                  <c:v>-1.1440108540282989E-2</c:v>
                </c:pt>
                <c:pt idx="3">
                  <c:v>-9.237945008315529E-2</c:v>
                </c:pt>
                <c:pt idx="4">
                  <c:v>-0.22975094164066978</c:v>
                </c:pt>
                <c:pt idx="5">
                  <c:v>2.3913094861249151E-2</c:v>
                </c:pt>
                <c:pt idx="6">
                  <c:v>-4.1745498315436391E-2</c:v>
                </c:pt>
                <c:pt idx="7">
                  <c:v>-0.33560874239974892</c:v>
                </c:pt>
                <c:pt idx="8">
                  <c:v>-0.10677203720169393</c:v>
                </c:pt>
                <c:pt idx="9">
                  <c:v>-8.4344395415358653E-2</c:v>
                </c:pt>
                <c:pt idx="10">
                  <c:v>0.15068825046835244</c:v>
                </c:pt>
                <c:pt idx="11">
                  <c:v>-0.55421195479658847</c:v>
                </c:pt>
                <c:pt idx="12">
                  <c:v>-0.32579501467879435</c:v>
                </c:pt>
                <c:pt idx="13">
                  <c:v>-0.13110027777116051</c:v>
                </c:pt>
                <c:pt idx="14">
                  <c:v>-0.10448522246960601</c:v>
                </c:pt>
                <c:pt idx="15">
                  <c:v>0.23573102729803197</c:v>
                </c:pt>
                <c:pt idx="16">
                  <c:v>-0.63416586654472096</c:v>
                </c:pt>
                <c:pt idx="17">
                  <c:v>-0.16786724296941968</c:v>
                </c:pt>
                <c:pt idx="18">
                  <c:v>-0.22600086764628213</c:v>
                </c:pt>
                <c:pt idx="19">
                  <c:v>-0.22263521511911299</c:v>
                </c:pt>
                <c:pt idx="20">
                  <c:v>2.0268082494418804E-2</c:v>
                </c:pt>
                <c:pt idx="21">
                  <c:v>-0.1754323519395623</c:v>
                </c:pt>
                <c:pt idx="22">
                  <c:v>-7.610548054935129E-2</c:v>
                </c:pt>
                <c:pt idx="23">
                  <c:v>-0.4203943001036512</c:v>
                </c:pt>
                <c:pt idx="24">
                  <c:v>5.2077260279057125E-2</c:v>
                </c:pt>
                <c:pt idx="25">
                  <c:v>-7.3197712778792723E-2</c:v>
                </c:pt>
                <c:pt idx="26">
                  <c:v>4.4082045439747919E-2</c:v>
                </c:pt>
                <c:pt idx="27">
                  <c:v>4.2848084347968163E-2</c:v>
                </c:pt>
                <c:pt idx="28">
                  <c:v>-0.11718455302282782</c:v>
                </c:pt>
                <c:pt idx="29">
                  <c:v>-0.17362792013385731</c:v>
                </c:pt>
                <c:pt idx="30">
                  <c:v>-0.18890111135918541</c:v>
                </c:pt>
                <c:pt idx="31">
                  <c:v>-7.9564571823572683E-3</c:v>
                </c:pt>
                <c:pt idx="32">
                  <c:v>0.19170034920721557</c:v>
                </c:pt>
                <c:pt idx="33">
                  <c:v>-6.4642556552911068E-2</c:v>
                </c:pt>
                <c:pt idx="34">
                  <c:v>9.7142168490793823E-2</c:v>
                </c:pt>
              </c:numCache>
            </c:numRef>
          </c:val>
        </c:ser>
        <c:dLbls>
          <c:showLegendKey val="0"/>
          <c:showVal val="0"/>
          <c:showCatName val="0"/>
          <c:showSerName val="0"/>
          <c:showPercent val="0"/>
          <c:showBubbleSize val="0"/>
        </c:dLbls>
        <c:gapWidth val="150"/>
        <c:axId val="139687424"/>
        <c:axId val="141124352"/>
      </c:barChart>
      <c:catAx>
        <c:axId val="139687424"/>
        <c:scaling>
          <c:orientation val="minMax"/>
        </c:scaling>
        <c:delete val="0"/>
        <c:axPos val="b"/>
        <c:numFmt formatCode="0.00%" sourceLinked="0"/>
        <c:majorTickMark val="out"/>
        <c:minorTickMark val="none"/>
        <c:tickLblPos val="nextTo"/>
        <c:txPr>
          <a:bodyPr/>
          <a:lstStyle/>
          <a:p>
            <a:pPr>
              <a:defRPr b="1"/>
            </a:pPr>
            <a:endParaRPr lang="ru-RU"/>
          </a:p>
        </c:txPr>
        <c:crossAx val="141124352"/>
        <c:crosses val="autoZero"/>
        <c:auto val="1"/>
        <c:lblAlgn val="ctr"/>
        <c:lblOffset val="100"/>
        <c:noMultiLvlLbl val="0"/>
      </c:catAx>
      <c:valAx>
        <c:axId val="141124352"/>
        <c:scaling>
          <c:orientation val="minMax"/>
        </c:scaling>
        <c:delete val="0"/>
        <c:axPos val="l"/>
        <c:majorGridlines/>
        <c:numFmt formatCode="0.00%" sourceLinked="1"/>
        <c:majorTickMark val="out"/>
        <c:minorTickMark val="none"/>
        <c:tickLblPos val="nextTo"/>
        <c:crossAx val="139687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9EC04B-9E8C-4124-81AD-27EB0D0B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2</cp:revision>
  <cp:lastPrinted>2015-06-22T00:42:00Z</cp:lastPrinted>
  <dcterms:created xsi:type="dcterms:W3CDTF">2016-04-01T05:27:00Z</dcterms:created>
  <dcterms:modified xsi:type="dcterms:W3CDTF">2016-04-01T05:27:00Z</dcterms:modified>
</cp:coreProperties>
</file>