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5B012A" w:rsidRDefault="00F027FA" w:rsidP="008121EF">
      <w:pPr>
        <w:pStyle w:val="21"/>
        <w:ind w:firstLine="709"/>
        <w:jc w:val="center"/>
        <w:rPr>
          <w:rFonts w:cs="Arial"/>
          <w:snapToGrid w:val="0"/>
          <w:sz w:val="32"/>
          <w:szCs w:val="32"/>
          <w:lang w:val="en-US"/>
        </w:rPr>
      </w:pPr>
      <w:bookmarkStart w:id="0" w:name="_GoBack"/>
      <w:bookmarkEnd w:id="0"/>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177DBF" w:rsidP="0052042B">
      <w:pPr>
        <w:pStyle w:val="21"/>
        <w:ind w:firstLine="0"/>
        <w:jc w:val="center"/>
        <w:rPr>
          <w:rFonts w:cs="Arial"/>
          <w:snapToGrid w:val="0"/>
          <w:sz w:val="20"/>
        </w:rPr>
      </w:pPr>
      <w:r>
        <w:rPr>
          <w:noProof/>
        </w:rPr>
        <w:drawing>
          <wp:inline distT="0" distB="0" distL="0" distR="0">
            <wp:extent cx="5940425" cy="3960283"/>
            <wp:effectExtent l="0" t="0" r="3175" b="2540"/>
            <wp:docPr id="10" name="Рисунок 10" descr="https://static.vl.ru/news/1543032918841_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vl.ru/news/1543032918841_defa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9F2A1A" w:rsidRDefault="004209A3" w:rsidP="009F2A1A">
      <w:pPr>
        <w:pStyle w:val="21"/>
        <w:ind w:firstLine="709"/>
        <w:jc w:val="right"/>
        <w:rPr>
          <w:rFonts w:cs="Arial"/>
          <w:snapToGrid w:val="0"/>
          <w:sz w:val="20"/>
        </w:rPr>
      </w:pPr>
      <w:r>
        <w:rPr>
          <w:rFonts w:cs="Arial"/>
          <w:snapToGrid w:val="0"/>
          <w:sz w:val="20"/>
        </w:rPr>
        <w:t>Но</w:t>
      </w:r>
      <w:r w:rsidR="00DF6A7D">
        <w:rPr>
          <w:rFonts w:cs="Arial"/>
          <w:snapToGrid w:val="0"/>
          <w:sz w:val="20"/>
        </w:rPr>
        <w:t>ябрь</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EndPr/>
      <w:sdtContent>
        <w:p w:rsidR="008121EF" w:rsidRDefault="008121EF">
          <w:pPr>
            <w:pStyle w:val="af"/>
          </w:pPr>
          <w:r>
            <w:t>Оглавление</w:t>
          </w:r>
        </w:p>
        <w:p w:rsidR="006C6A37"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1533055" w:history="1">
            <w:r w:rsidR="006C6A37" w:rsidRPr="00741D7F">
              <w:rPr>
                <w:rStyle w:val="a3"/>
                <w:rFonts w:cs="Arial"/>
                <w:noProof/>
                <w:snapToGrid w:val="0"/>
              </w:rPr>
              <w:t>Итоги месяца</w:t>
            </w:r>
            <w:r w:rsidR="006C6A37">
              <w:rPr>
                <w:noProof/>
                <w:webHidden/>
              </w:rPr>
              <w:tab/>
            </w:r>
            <w:r w:rsidR="006C6A37">
              <w:rPr>
                <w:noProof/>
                <w:webHidden/>
              </w:rPr>
              <w:fldChar w:fldCharType="begin"/>
            </w:r>
            <w:r w:rsidR="006C6A37">
              <w:rPr>
                <w:noProof/>
                <w:webHidden/>
              </w:rPr>
              <w:instrText xml:space="preserve"> PAGEREF _Toc531533055 \h </w:instrText>
            </w:r>
            <w:r w:rsidR="006C6A37">
              <w:rPr>
                <w:noProof/>
                <w:webHidden/>
              </w:rPr>
            </w:r>
            <w:r w:rsidR="006C6A37">
              <w:rPr>
                <w:noProof/>
                <w:webHidden/>
              </w:rPr>
              <w:fldChar w:fldCharType="separate"/>
            </w:r>
            <w:r w:rsidR="006C6A37">
              <w:rPr>
                <w:noProof/>
                <w:webHidden/>
              </w:rPr>
              <w:t>3</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56" w:history="1">
            <w:r w:rsidR="006C6A37" w:rsidRPr="00741D7F">
              <w:rPr>
                <w:rStyle w:val="a3"/>
                <w:rFonts w:cs="Arial"/>
                <w:noProof/>
              </w:rPr>
              <w:t>Диаграмма 1. Динамика изменения средней удельной цены предложения на вторичном рынке жилья в г.</w:t>
            </w:r>
            <w:r w:rsidR="006C6A37" w:rsidRPr="00741D7F">
              <w:rPr>
                <w:rStyle w:val="a3"/>
                <w:rFonts w:cs="Arial"/>
                <w:noProof/>
                <w:lang w:val="en-US"/>
              </w:rPr>
              <w:t> </w:t>
            </w:r>
            <w:r w:rsidR="006C6A37" w:rsidRPr="00741D7F">
              <w:rPr>
                <w:rStyle w:val="a3"/>
                <w:rFonts w:cs="Arial"/>
                <w:noProof/>
              </w:rPr>
              <w:t>Владивостоке, руб./кв.м.</w:t>
            </w:r>
            <w:r w:rsidR="006C6A37">
              <w:rPr>
                <w:noProof/>
                <w:webHidden/>
              </w:rPr>
              <w:tab/>
            </w:r>
            <w:r w:rsidR="006C6A37">
              <w:rPr>
                <w:noProof/>
                <w:webHidden/>
              </w:rPr>
              <w:fldChar w:fldCharType="begin"/>
            </w:r>
            <w:r w:rsidR="006C6A37">
              <w:rPr>
                <w:noProof/>
                <w:webHidden/>
              </w:rPr>
              <w:instrText xml:space="preserve"> PAGEREF _Toc531533056 \h </w:instrText>
            </w:r>
            <w:r w:rsidR="006C6A37">
              <w:rPr>
                <w:noProof/>
                <w:webHidden/>
              </w:rPr>
            </w:r>
            <w:r w:rsidR="006C6A37">
              <w:rPr>
                <w:noProof/>
                <w:webHidden/>
              </w:rPr>
              <w:fldChar w:fldCharType="separate"/>
            </w:r>
            <w:r w:rsidR="006C6A37">
              <w:rPr>
                <w:noProof/>
                <w:webHidden/>
              </w:rPr>
              <w:t>3</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57" w:history="1">
            <w:r w:rsidR="006C6A37" w:rsidRPr="00741D7F">
              <w:rPr>
                <w:rStyle w:val="a3"/>
                <w:rFonts w:cs="Arial"/>
                <w:noProof/>
              </w:rPr>
              <w:t>Таблица 1. Средняя удельная цена  предложения за 1 кв.м. в г. Владивостоке, руб.</w:t>
            </w:r>
            <w:r w:rsidR="006C6A37">
              <w:rPr>
                <w:noProof/>
                <w:webHidden/>
              </w:rPr>
              <w:tab/>
            </w:r>
            <w:r w:rsidR="006C6A37">
              <w:rPr>
                <w:noProof/>
                <w:webHidden/>
              </w:rPr>
              <w:fldChar w:fldCharType="begin"/>
            </w:r>
            <w:r w:rsidR="006C6A37">
              <w:rPr>
                <w:noProof/>
                <w:webHidden/>
              </w:rPr>
              <w:instrText xml:space="preserve"> PAGEREF _Toc531533057 \h </w:instrText>
            </w:r>
            <w:r w:rsidR="006C6A37">
              <w:rPr>
                <w:noProof/>
                <w:webHidden/>
              </w:rPr>
            </w:r>
            <w:r w:rsidR="006C6A37">
              <w:rPr>
                <w:noProof/>
                <w:webHidden/>
              </w:rPr>
              <w:fldChar w:fldCharType="separate"/>
            </w:r>
            <w:r w:rsidR="006C6A37">
              <w:rPr>
                <w:noProof/>
                <w:webHidden/>
              </w:rPr>
              <w:t>4</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58" w:history="1">
            <w:r w:rsidR="006C6A37" w:rsidRPr="00741D7F">
              <w:rPr>
                <w:rStyle w:val="a3"/>
                <w:rFonts w:cs="Arial"/>
                <w:noProof/>
              </w:rPr>
              <w:t>Таблица 2. Средняя удельная цена  предложения за 1 кв. м. в зависимости от материала стен  в г. Владивостоке, руб.</w:t>
            </w:r>
            <w:r w:rsidR="006C6A37">
              <w:rPr>
                <w:noProof/>
                <w:webHidden/>
              </w:rPr>
              <w:tab/>
            </w:r>
            <w:r w:rsidR="006C6A37">
              <w:rPr>
                <w:noProof/>
                <w:webHidden/>
              </w:rPr>
              <w:fldChar w:fldCharType="begin"/>
            </w:r>
            <w:r w:rsidR="006C6A37">
              <w:rPr>
                <w:noProof/>
                <w:webHidden/>
              </w:rPr>
              <w:instrText xml:space="preserve"> PAGEREF _Toc531533058 \h </w:instrText>
            </w:r>
            <w:r w:rsidR="006C6A37">
              <w:rPr>
                <w:noProof/>
                <w:webHidden/>
              </w:rPr>
            </w:r>
            <w:r w:rsidR="006C6A37">
              <w:rPr>
                <w:noProof/>
                <w:webHidden/>
              </w:rPr>
              <w:fldChar w:fldCharType="separate"/>
            </w:r>
            <w:r w:rsidR="006C6A37">
              <w:rPr>
                <w:noProof/>
                <w:webHidden/>
              </w:rPr>
              <w:t>4</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59" w:history="1">
            <w:r w:rsidR="006C6A37" w:rsidRPr="00741D7F">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6C6A37">
              <w:rPr>
                <w:noProof/>
                <w:webHidden/>
              </w:rPr>
              <w:tab/>
            </w:r>
            <w:r w:rsidR="006C6A37">
              <w:rPr>
                <w:noProof/>
                <w:webHidden/>
              </w:rPr>
              <w:fldChar w:fldCharType="begin"/>
            </w:r>
            <w:r w:rsidR="006C6A37">
              <w:rPr>
                <w:noProof/>
                <w:webHidden/>
              </w:rPr>
              <w:instrText xml:space="preserve"> PAGEREF _Toc531533059 \h </w:instrText>
            </w:r>
            <w:r w:rsidR="006C6A37">
              <w:rPr>
                <w:noProof/>
                <w:webHidden/>
              </w:rPr>
            </w:r>
            <w:r w:rsidR="006C6A37">
              <w:rPr>
                <w:noProof/>
                <w:webHidden/>
              </w:rPr>
              <w:fldChar w:fldCharType="separate"/>
            </w:r>
            <w:r w:rsidR="006C6A37">
              <w:rPr>
                <w:noProof/>
                <w:webHidden/>
              </w:rPr>
              <w:t>4</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0" w:history="1">
            <w:r w:rsidR="006C6A37" w:rsidRPr="00741D7F">
              <w:rPr>
                <w:rStyle w:val="a3"/>
                <w:rFonts w:cs="Arial"/>
                <w:noProof/>
              </w:rPr>
              <w:t>Таблица 4. Средняя удельная  и полная цена предложения 1 кв. м. по типам квартир в г. Владивостоке, руб.</w:t>
            </w:r>
            <w:r w:rsidR="006C6A37">
              <w:rPr>
                <w:noProof/>
                <w:webHidden/>
              </w:rPr>
              <w:tab/>
            </w:r>
            <w:r w:rsidR="006C6A37">
              <w:rPr>
                <w:noProof/>
                <w:webHidden/>
              </w:rPr>
              <w:fldChar w:fldCharType="begin"/>
            </w:r>
            <w:r w:rsidR="006C6A37">
              <w:rPr>
                <w:noProof/>
                <w:webHidden/>
              </w:rPr>
              <w:instrText xml:space="preserve"> PAGEREF _Toc531533060 \h </w:instrText>
            </w:r>
            <w:r w:rsidR="006C6A37">
              <w:rPr>
                <w:noProof/>
                <w:webHidden/>
              </w:rPr>
            </w:r>
            <w:r w:rsidR="006C6A37">
              <w:rPr>
                <w:noProof/>
                <w:webHidden/>
              </w:rPr>
              <w:fldChar w:fldCharType="separate"/>
            </w:r>
            <w:r w:rsidR="006C6A37">
              <w:rPr>
                <w:noProof/>
                <w:webHidden/>
              </w:rPr>
              <w:t>4</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1" w:history="1">
            <w:r w:rsidR="006C6A37" w:rsidRPr="00741D7F">
              <w:rPr>
                <w:rStyle w:val="a3"/>
                <w:rFonts w:cs="Arial"/>
                <w:noProof/>
              </w:rPr>
              <w:t>Таблица 5.  Десятка самых дорогих районов по средней удельной цене предложения за 1 кв. м. руб.</w:t>
            </w:r>
            <w:r w:rsidR="006C6A37">
              <w:rPr>
                <w:noProof/>
                <w:webHidden/>
              </w:rPr>
              <w:tab/>
            </w:r>
            <w:r w:rsidR="006C6A37">
              <w:rPr>
                <w:noProof/>
                <w:webHidden/>
              </w:rPr>
              <w:fldChar w:fldCharType="begin"/>
            </w:r>
            <w:r w:rsidR="006C6A37">
              <w:rPr>
                <w:noProof/>
                <w:webHidden/>
              </w:rPr>
              <w:instrText xml:space="preserve"> PAGEREF _Toc531533061 \h </w:instrText>
            </w:r>
            <w:r w:rsidR="006C6A37">
              <w:rPr>
                <w:noProof/>
                <w:webHidden/>
              </w:rPr>
            </w:r>
            <w:r w:rsidR="006C6A37">
              <w:rPr>
                <w:noProof/>
                <w:webHidden/>
              </w:rPr>
              <w:fldChar w:fldCharType="separate"/>
            </w:r>
            <w:r w:rsidR="006C6A37">
              <w:rPr>
                <w:noProof/>
                <w:webHidden/>
              </w:rPr>
              <w:t>4</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2" w:history="1">
            <w:r w:rsidR="006C6A37" w:rsidRPr="00741D7F">
              <w:rPr>
                <w:rStyle w:val="a3"/>
                <w:rFonts w:cs="Arial"/>
                <w:noProof/>
              </w:rPr>
              <w:t>Диаграмма 2. Средняя удельная цена предложения 1 кв. м. по типам квартир в г. Владивостоке, руб.</w:t>
            </w:r>
            <w:r w:rsidR="006C6A37">
              <w:rPr>
                <w:noProof/>
                <w:webHidden/>
              </w:rPr>
              <w:tab/>
            </w:r>
            <w:r w:rsidR="006C6A37">
              <w:rPr>
                <w:noProof/>
                <w:webHidden/>
              </w:rPr>
              <w:fldChar w:fldCharType="begin"/>
            </w:r>
            <w:r w:rsidR="006C6A37">
              <w:rPr>
                <w:noProof/>
                <w:webHidden/>
              </w:rPr>
              <w:instrText xml:space="preserve"> PAGEREF _Toc531533062 \h </w:instrText>
            </w:r>
            <w:r w:rsidR="006C6A37">
              <w:rPr>
                <w:noProof/>
                <w:webHidden/>
              </w:rPr>
            </w:r>
            <w:r w:rsidR="006C6A37">
              <w:rPr>
                <w:noProof/>
                <w:webHidden/>
              </w:rPr>
              <w:fldChar w:fldCharType="separate"/>
            </w:r>
            <w:r w:rsidR="006C6A37">
              <w:rPr>
                <w:noProof/>
                <w:webHidden/>
              </w:rPr>
              <w:t>5</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3" w:history="1">
            <w:r w:rsidR="006C6A37" w:rsidRPr="00741D7F">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6C6A37">
              <w:rPr>
                <w:noProof/>
                <w:webHidden/>
              </w:rPr>
              <w:tab/>
            </w:r>
            <w:r w:rsidR="006C6A37">
              <w:rPr>
                <w:noProof/>
                <w:webHidden/>
              </w:rPr>
              <w:fldChar w:fldCharType="begin"/>
            </w:r>
            <w:r w:rsidR="006C6A37">
              <w:rPr>
                <w:noProof/>
                <w:webHidden/>
              </w:rPr>
              <w:instrText xml:space="preserve"> PAGEREF _Toc531533063 \h </w:instrText>
            </w:r>
            <w:r w:rsidR="006C6A37">
              <w:rPr>
                <w:noProof/>
                <w:webHidden/>
              </w:rPr>
            </w:r>
            <w:r w:rsidR="006C6A37">
              <w:rPr>
                <w:noProof/>
                <w:webHidden/>
              </w:rPr>
              <w:fldChar w:fldCharType="separate"/>
            </w:r>
            <w:r w:rsidR="006C6A37">
              <w:rPr>
                <w:noProof/>
                <w:webHidden/>
              </w:rPr>
              <w:t>5</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4" w:history="1">
            <w:r w:rsidR="006C6A37" w:rsidRPr="00741D7F">
              <w:rPr>
                <w:rStyle w:val="a3"/>
                <w:rFonts w:cs="Arial"/>
                <w:noProof/>
              </w:rPr>
              <w:t>Диаграмма 4. Средняя удельная цена  за 1 кв. м. в зависимости от материала стен в г. Владивостоке, руб./кв.м.</w:t>
            </w:r>
            <w:r w:rsidR="006C6A37">
              <w:rPr>
                <w:noProof/>
                <w:webHidden/>
              </w:rPr>
              <w:tab/>
            </w:r>
            <w:r w:rsidR="006C6A37">
              <w:rPr>
                <w:noProof/>
                <w:webHidden/>
              </w:rPr>
              <w:fldChar w:fldCharType="begin"/>
            </w:r>
            <w:r w:rsidR="006C6A37">
              <w:rPr>
                <w:noProof/>
                <w:webHidden/>
              </w:rPr>
              <w:instrText xml:space="preserve"> PAGEREF _Toc531533064 \h </w:instrText>
            </w:r>
            <w:r w:rsidR="006C6A37">
              <w:rPr>
                <w:noProof/>
                <w:webHidden/>
              </w:rPr>
            </w:r>
            <w:r w:rsidR="006C6A37">
              <w:rPr>
                <w:noProof/>
                <w:webHidden/>
              </w:rPr>
              <w:fldChar w:fldCharType="separate"/>
            </w:r>
            <w:r w:rsidR="006C6A37">
              <w:rPr>
                <w:noProof/>
                <w:webHidden/>
              </w:rPr>
              <w:t>5</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5" w:history="1">
            <w:r w:rsidR="006C6A37" w:rsidRPr="00741D7F">
              <w:rPr>
                <w:rStyle w:val="a3"/>
                <w:rFonts w:cs="Arial"/>
                <w:noProof/>
              </w:rPr>
              <w:t>Диаграмма 5. Средняя удельная цена предложения за 1 кв. м. по районам в г. Владивостоке, руб./кв.м.</w:t>
            </w:r>
            <w:r w:rsidR="006C6A37">
              <w:rPr>
                <w:noProof/>
                <w:webHidden/>
              </w:rPr>
              <w:tab/>
            </w:r>
            <w:r w:rsidR="006C6A37">
              <w:rPr>
                <w:noProof/>
                <w:webHidden/>
              </w:rPr>
              <w:fldChar w:fldCharType="begin"/>
            </w:r>
            <w:r w:rsidR="006C6A37">
              <w:rPr>
                <w:noProof/>
                <w:webHidden/>
              </w:rPr>
              <w:instrText xml:space="preserve"> PAGEREF _Toc531533065 \h </w:instrText>
            </w:r>
            <w:r w:rsidR="006C6A37">
              <w:rPr>
                <w:noProof/>
                <w:webHidden/>
              </w:rPr>
            </w:r>
            <w:r w:rsidR="006C6A37">
              <w:rPr>
                <w:noProof/>
                <w:webHidden/>
              </w:rPr>
              <w:fldChar w:fldCharType="separate"/>
            </w:r>
            <w:r w:rsidR="006C6A37">
              <w:rPr>
                <w:noProof/>
                <w:webHidden/>
              </w:rPr>
              <w:t>6</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6" w:history="1">
            <w:r w:rsidR="006C6A37" w:rsidRPr="00741D7F">
              <w:rPr>
                <w:rStyle w:val="a3"/>
                <w:rFonts w:cs="Arial"/>
                <w:noProof/>
              </w:rPr>
              <w:t>Таблица 6. Средняя удельная цена предложения 1 кв. м. по районам г. Владивостока</w:t>
            </w:r>
            <w:r w:rsidR="006C6A37">
              <w:rPr>
                <w:noProof/>
                <w:webHidden/>
              </w:rPr>
              <w:tab/>
            </w:r>
            <w:r w:rsidR="006C6A37">
              <w:rPr>
                <w:noProof/>
                <w:webHidden/>
              </w:rPr>
              <w:fldChar w:fldCharType="begin"/>
            </w:r>
            <w:r w:rsidR="006C6A37">
              <w:rPr>
                <w:noProof/>
                <w:webHidden/>
              </w:rPr>
              <w:instrText xml:space="preserve"> PAGEREF _Toc531533066 \h </w:instrText>
            </w:r>
            <w:r w:rsidR="006C6A37">
              <w:rPr>
                <w:noProof/>
                <w:webHidden/>
              </w:rPr>
            </w:r>
            <w:r w:rsidR="006C6A37">
              <w:rPr>
                <w:noProof/>
                <w:webHidden/>
              </w:rPr>
              <w:fldChar w:fldCharType="separate"/>
            </w:r>
            <w:r w:rsidR="006C6A37">
              <w:rPr>
                <w:noProof/>
                <w:webHidden/>
              </w:rPr>
              <w:t>7</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7" w:history="1">
            <w:r w:rsidR="006C6A37" w:rsidRPr="00741D7F">
              <w:rPr>
                <w:rStyle w:val="a3"/>
                <w:rFonts w:cs="Arial"/>
                <w:noProof/>
              </w:rPr>
              <w:t>Таблица 7. Средняя удельная цена предложения 1 кв. м. по районам  и типам квартир, г. Владивостока</w:t>
            </w:r>
            <w:r w:rsidR="006C6A37">
              <w:rPr>
                <w:noProof/>
                <w:webHidden/>
              </w:rPr>
              <w:tab/>
            </w:r>
            <w:r w:rsidR="006C6A37">
              <w:rPr>
                <w:noProof/>
                <w:webHidden/>
              </w:rPr>
              <w:fldChar w:fldCharType="begin"/>
            </w:r>
            <w:r w:rsidR="006C6A37">
              <w:rPr>
                <w:noProof/>
                <w:webHidden/>
              </w:rPr>
              <w:instrText xml:space="preserve"> PAGEREF _Toc531533067 \h </w:instrText>
            </w:r>
            <w:r w:rsidR="006C6A37">
              <w:rPr>
                <w:noProof/>
                <w:webHidden/>
              </w:rPr>
            </w:r>
            <w:r w:rsidR="006C6A37">
              <w:rPr>
                <w:noProof/>
                <w:webHidden/>
              </w:rPr>
              <w:fldChar w:fldCharType="separate"/>
            </w:r>
            <w:r w:rsidR="006C6A37">
              <w:rPr>
                <w:noProof/>
                <w:webHidden/>
              </w:rPr>
              <w:t>8</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8" w:history="1">
            <w:r w:rsidR="006C6A37" w:rsidRPr="00741D7F">
              <w:rPr>
                <w:rStyle w:val="a3"/>
                <w:rFonts w:cs="Arial"/>
                <w:noProof/>
              </w:rPr>
              <w:t>Таблица 8. Средняя удельная цена предложения 1 кв. м. в новостройках (первичный рынок) по районам г. Владивостока</w:t>
            </w:r>
            <w:r w:rsidR="006C6A37">
              <w:rPr>
                <w:noProof/>
                <w:webHidden/>
              </w:rPr>
              <w:tab/>
            </w:r>
            <w:r w:rsidR="006C6A37">
              <w:rPr>
                <w:noProof/>
                <w:webHidden/>
              </w:rPr>
              <w:fldChar w:fldCharType="begin"/>
            </w:r>
            <w:r w:rsidR="006C6A37">
              <w:rPr>
                <w:noProof/>
                <w:webHidden/>
              </w:rPr>
              <w:instrText xml:space="preserve"> PAGEREF _Toc531533068 \h </w:instrText>
            </w:r>
            <w:r w:rsidR="006C6A37">
              <w:rPr>
                <w:noProof/>
                <w:webHidden/>
              </w:rPr>
            </w:r>
            <w:r w:rsidR="006C6A37">
              <w:rPr>
                <w:noProof/>
                <w:webHidden/>
              </w:rPr>
              <w:fldChar w:fldCharType="separate"/>
            </w:r>
            <w:r w:rsidR="006C6A37">
              <w:rPr>
                <w:noProof/>
                <w:webHidden/>
              </w:rPr>
              <w:t>9</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69" w:history="1">
            <w:r w:rsidR="006C6A37" w:rsidRPr="00741D7F">
              <w:rPr>
                <w:rStyle w:val="a3"/>
                <w:rFonts w:cs="Arial"/>
                <w:noProof/>
              </w:rPr>
              <w:t>Таблицы 9. Удельная цена предложения 1 кв. м. по типам квартир по районам г. Владивостока</w:t>
            </w:r>
            <w:r w:rsidR="006C6A37">
              <w:rPr>
                <w:noProof/>
                <w:webHidden/>
              </w:rPr>
              <w:tab/>
            </w:r>
            <w:r w:rsidR="006C6A37">
              <w:rPr>
                <w:noProof/>
                <w:webHidden/>
              </w:rPr>
              <w:fldChar w:fldCharType="begin"/>
            </w:r>
            <w:r w:rsidR="006C6A37">
              <w:rPr>
                <w:noProof/>
                <w:webHidden/>
              </w:rPr>
              <w:instrText xml:space="preserve"> PAGEREF _Toc531533069 \h </w:instrText>
            </w:r>
            <w:r w:rsidR="006C6A37">
              <w:rPr>
                <w:noProof/>
                <w:webHidden/>
              </w:rPr>
            </w:r>
            <w:r w:rsidR="006C6A37">
              <w:rPr>
                <w:noProof/>
                <w:webHidden/>
              </w:rPr>
              <w:fldChar w:fldCharType="separate"/>
            </w:r>
            <w:r w:rsidR="006C6A37">
              <w:rPr>
                <w:noProof/>
                <w:webHidden/>
              </w:rPr>
              <w:t>9</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70" w:history="1">
            <w:r w:rsidR="006C6A37" w:rsidRPr="00741D7F">
              <w:rPr>
                <w:rStyle w:val="a3"/>
                <w:rFonts w:cs="Arial"/>
                <w:noProof/>
                <w:snapToGrid w:val="0"/>
              </w:rPr>
              <w:t>Подготовлен</w:t>
            </w:r>
            <w:r w:rsidR="006C6A37">
              <w:rPr>
                <w:noProof/>
                <w:webHidden/>
              </w:rPr>
              <w:tab/>
            </w:r>
            <w:r w:rsidR="006C6A37">
              <w:rPr>
                <w:noProof/>
                <w:webHidden/>
              </w:rPr>
              <w:fldChar w:fldCharType="begin"/>
            </w:r>
            <w:r w:rsidR="006C6A37">
              <w:rPr>
                <w:noProof/>
                <w:webHidden/>
              </w:rPr>
              <w:instrText xml:space="preserve"> PAGEREF _Toc531533070 \h </w:instrText>
            </w:r>
            <w:r w:rsidR="006C6A37">
              <w:rPr>
                <w:noProof/>
                <w:webHidden/>
              </w:rPr>
            </w:r>
            <w:r w:rsidR="006C6A37">
              <w:rPr>
                <w:noProof/>
                <w:webHidden/>
              </w:rPr>
              <w:fldChar w:fldCharType="separate"/>
            </w:r>
            <w:r w:rsidR="006C6A37">
              <w:rPr>
                <w:noProof/>
                <w:webHidden/>
              </w:rPr>
              <w:t>13</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71" w:history="1">
            <w:r w:rsidR="006C6A37" w:rsidRPr="00741D7F">
              <w:rPr>
                <w:rStyle w:val="a3"/>
                <w:rFonts w:cs="Arial"/>
                <w:noProof/>
                <w:snapToGrid w:val="0"/>
              </w:rPr>
              <w:t>Материалы и методологии.</w:t>
            </w:r>
            <w:r w:rsidR="006C6A37">
              <w:rPr>
                <w:noProof/>
                <w:webHidden/>
              </w:rPr>
              <w:tab/>
            </w:r>
            <w:r w:rsidR="006C6A37">
              <w:rPr>
                <w:noProof/>
                <w:webHidden/>
              </w:rPr>
              <w:fldChar w:fldCharType="begin"/>
            </w:r>
            <w:r w:rsidR="006C6A37">
              <w:rPr>
                <w:noProof/>
                <w:webHidden/>
              </w:rPr>
              <w:instrText xml:space="preserve"> PAGEREF _Toc531533071 \h </w:instrText>
            </w:r>
            <w:r w:rsidR="006C6A37">
              <w:rPr>
                <w:noProof/>
                <w:webHidden/>
              </w:rPr>
            </w:r>
            <w:r w:rsidR="006C6A37">
              <w:rPr>
                <w:noProof/>
                <w:webHidden/>
              </w:rPr>
              <w:fldChar w:fldCharType="separate"/>
            </w:r>
            <w:r w:rsidR="006C6A37">
              <w:rPr>
                <w:noProof/>
                <w:webHidden/>
              </w:rPr>
              <w:t>13</w:t>
            </w:r>
            <w:r w:rsidR="006C6A37">
              <w:rPr>
                <w:noProof/>
                <w:webHidden/>
              </w:rPr>
              <w:fldChar w:fldCharType="end"/>
            </w:r>
          </w:hyperlink>
        </w:p>
        <w:p w:rsidR="006C6A37" w:rsidRDefault="00445AD6">
          <w:pPr>
            <w:pStyle w:val="24"/>
            <w:rPr>
              <w:rFonts w:asciiTheme="minorHAnsi" w:eastAsiaTheme="minorEastAsia" w:hAnsiTheme="minorHAnsi" w:cstheme="minorBidi"/>
              <w:noProof/>
              <w:sz w:val="22"/>
              <w:szCs w:val="22"/>
            </w:rPr>
          </w:pPr>
          <w:hyperlink w:anchor="_Toc531533072" w:history="1">
            <w:r w:rsidR="006C6A37" w:rsidRPr="00741D7F">
              <w:rPr>
                <w:rStyle w:val="a3"/>
                <w:rFonts w:cs="Arial"/>
                <w:noProof/>
                <w:snapToGrid w:val="0"/>
              </w:rPr>
              <w:t>Примечания.</w:t>
            </w:r>
            <w:r w:rsidR="006C6A37">
              <w:rPr>
                <w:noProof/>
                <w:webHidden/>
              </w:rPr>
              <w:tab/>
            </w:r>
            <w:r w:rsidR="006C6A37">
              <w:rPr>
                <w:noProof/>
                <w:webHidden/>
              </w:rPr>
              <w:fldChar w:fldCharType="begin"/>
            </w:r>
            <w:r w:rsidR="006C6A37">
              <w:rPr>
                <w:noProof/>
                <w:webHidden/>
              </w:rPr>
              <w:instrText xml:space="preserve"> PAGEREF _Toc531533072 \h </w:instrText>
            </w:r>
            <w:r w:rsidR="006C6A37">
              <w:rPr>
                <w:noProof/>
                <w:webHidden/>
              </w:rPr>
            </w:r>
            <w:r w:rsidR="006C6A37">
              <w:rPr>
                <w:noProof/>
                <w:webHidden/>
              </w:rPr>
              <w:fldChar w:fldCharType="separate"/>
            </w:r>
            <w:r w:rsidR="006C6A37">
              <w:rPr>
                <w:noProof/>
                <w:webHidden/>
              </w:rPr>
              <w:t>13</w:t>
            </w:r>
            <w:r w:rsidR="006C6A37">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531533055"/>
      <w:r>
        <w:rPr>
          <w:rFonts w:ascii="Arial" w:hAnsi="Arial" w:cs="Arial"/>
          <w:snapToGrid w:val="0"/>
          <w:sz w:val="20"/>
          <w:szCs w:val="20"/>
        </w:rPr>
        <w:lastRenderedPageBreak/>
        <w:t>Итоги месяца</w:t>
      </w:r>
      <w:bookmarkEnd w:id="1"/>
    </w:p>
    <w:p w:rsidR="008A782A" w:rsidRDefault="008A782A" w:rsidP="004C4F72">
      <w:pPr>
        <w:pStyle w:val="21"/>
        <w:ind w:firstLine="709"/>
        <w:rPr>
          <w:rFonts w:cs="Arial"/>
          <w:b w:val="0"/>
          <w:snapToGrid w:val="0"/>
          <w:sz w:val="20"/>
        </w:rPr>
      </w:pP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325718">
        <w:rPr>
          <w:rFonts w:cs="Arial"/>
          <w:b w:val="0"/>
          <w:snapToGrid w:val="0"/>
          <w:sz w:val="20"/>
        </w:rPr>
        <w:t>457</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001D31">
        <w:rPr>
          <w:rFonts w:cs="Arial"/>
          <w:b w:val="0"/>
          <w:snapToGrid w:val="0"/>
          <w:sz w:val="20"/>
        </w:rPr>
        <w:t>4</w:t>
      </w:r>
      <w:r w:rsidR="00325718">
        <w:rPr>
          <w:rFonts w:cs="Arial"/>
          <w:b w:val="0"/>
          <w:snapToGrid w:val="0"/>
          <w:sz w:val="20"/>
        </w:rPr>
        <w:t>53</w:t>
      </w:r>
      <w:r w:rsidRPr="0042261A">
        <w:rPr>
          <w:rFonts w:cs="Arial"/>
          <w:b w:val="0"/>
          <w:snapToGrid w:val="0"/>
          <w:sz w:val="20"/>
        </w:rPr>
        <w:t>, «</w:t>
      </w:r>
      <w:r w:rsidR="003737FA">
        <w:rPr>
          <w:rFonts w:cs="Arial"/>
          <w:b w:val="0"/>
          <w:snapToGrid w:val="0"/>
          <w:sz w:val="20"/>
        </w:rPr>
        <w:t>Центр</w:t>
      </w:r>
      <w:r w:rsidRPr="0042261A">
        <w:rPr>
          <w:rFonts w:cs="Arial"/>
          <w:b w:val="0"/>
          <w:snapToGrid w:val="0"/>
          <w:sz w:val="20"/>
        </w:rPr>
        <w:t xml:space="preserve">» - </w:t>
      </w:r>
      <w:r w:rsidR="00325718">
        <w:rPr>
          <w:rFonts w:cs="Arial"/>
          <w:b w:val="0"/>
          <w:snapToGrid w:val="0"/>
          <w:sz w:val="20"/>
        </w:rPr>
        <w:t>357</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052563">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001D31">
        <w:rPr>
          <w:rFonts w:cs="Arial"/>
          <w:b w:val="0"/>
          <w:color w:val="000000"/>
          <w:sz w:val="20"/>
        </w:rPr>
        <w:t>4</w:t>
      </w:r>
      <w:r w:rsidR="00A32455">
        <w:rPr>
          <w:rFonts w:cs="Arial"/>
          <w:b w:val="0"/>
          <w:color w:val="000000"/>
          <w:sz w:val="20"/>
        </w:rPr>
        <w:t>,</w:t>
      </w:r>
      <w:r w:rsidR="00325718">
        <w:rPr>
          <w:rFonts w:cs="Arial"/>
          <w:b w:val="0"/>
          <w:color w:val="000000"/>
          <w:sz w:val="20"/>
        </w:rPr>
        <w:t>3</w:t>
      </w:r>
      <w:r w:rsidR="00654B0A" w:rsidRPr="0042261A">
        <w:rPr>
          <w:rFonts w:cs="Arial"/>
          <w:b w:val="0"/>
          <w:snapToGrid w:val="0"/>
          <w:sz w:val="20"/>
        </w:rPr>
        <w:t xml:space="preserve"> млрд. руб., </w:t>
      </w:r>
      <w:r w:rsidR="0096419E" w:rsidRPr="0042261A">
        <w:rPr>
          <w:rFonts w:cs="Arial"/>
          <w:b w:val="0"/>
          <w:snapToGrid w:val="0"/>
          <w:sz w:val="20"/>
        </w:rPr>
        <w:t>«</w:t>
      </w:r>
      <w:r w:rsidR="00DA3276">
        <w:rPr>
          <w:rFonts w:cs="Arial"/>
          <w:b w:val="0"/>
          <w:snapToGrid w:val="0"/>
          <w:sz w:val="20"/>
        </w:rPr>
        <w:t>Вторая речка</w:t>
      </w:r>
      <w:r w:rsidR="0096419E" w:rsidRPr="0042261A">
        <w:rPr>
          <w:rFonts w:cs="Arial"/>
          <w:b w:val="0"/>
          <w:snapToGrid w:val="0"/>
          <w:sz w:val="20"/>
        </w:rPr>
        <w:t xml:space="preserve">» -  </w:t>
      </w:r>
      <w:r w:rsidR="00325718">
        <w:rPr>
          <w:rFonts w:cs="Arial"/>
          <w:b w:val="0"/>
          <w:color w:val="000000"/>
          <w:sz w:val="20"/>
        </w:rPr>
        <w:t>2</w:t>
      </w:r>
      <w:r w:rsidR="00A32455">
        <w:rPr>
          <w:rFonts w:cs="Arial"/>
          <w:b w:val="0"/>
          <w:color w:val="000000"/>
          <w:sz w:val="20"/>
        </w:rPr>
        <w:t>,</w:t>
      </w:r>
      <w:r w:rsidR="00325718">
        <w:rPr>
          <w:rFonts w:cs="Arial"/>
          <w:b w:val="0"/>
          <w:color w:val="000000"/>
          <w:sz w:val="20"/>
        </w:rPr>
        <w:t>4</w:t>
      </w:r>
      <w:r w:rsidR="0096419E" w:rsidRPr="0042261A">
        <w:rPr>
          <w:rFonts w:cs="Arial"/>
          <w:b w:val="0"/>
          <w:snapToGrid w:val="0"/>
          <w:sz w:val="20"/>
        </w:rPr>
        <w:t xml:space="preserve"> млрд. руб., </w:t>
      </w:r>
      <w:r w:rsidR="00AA369A" w:rsidRPr="0042261A">
        <w:rPr>
          <w:rFonts w:cs="Arial"/>
          <w:b w:val="0"/>
          <w:snapToGrid w:val="0"/>
          <w:sz w:val="20"/>
        </w:rPr>
        <w:t>«</w:t>
      </w:r>
      <w:r w:rsidR="00325718">
        <w:rPr>
          <w:rFonts w:cs="Arial"/>
          <w:b w:val="0"/>
          <w:snapToGrid w:val="0"/>
          <w:sz w:val="20"/>
        </w:rPr>
        <w:t>Чуркин</w:t>
      </w:r>
      <w:r w:rsidR="00AA369A" w:rsidRPr="0042261A">
        <w:rPr>
          <w:rFonts w:cs="Arial"/>
          <w:b w:val="0"/>
          <w:snapToGrid w:val="0"/>
          <w:sz w:val="20"/>
        </w:rPr>
        <w:t>»</w:t>
      </w:r>
      <w:r w:rsidR="00325718">
        <w:rPr>
          <w:rFonts w:cs="Arial"/>
          <w:b w:val="0"/>
          <w:snapToGrid w:val="0"/>
          <w:sz w:val="20"/>
        </w:rPr>
        <w:t xml:space="preserve"> </w:t>
      </w:r>
      <w:r w:rsidR="00AA369A" w:rsidRPr="0042261A">
        <w:rPr>
          <w:rFonts w:cs="Arial"/>
          <w:b w:val="0"/>
          <w:snapToGrid w:val="0"/>
          <w:sz w:val="20"/>
        </w:rPr>
        <w:t>-</w:t>
      </w:r>
      <w:r w:rsidR="00855644">
        <w:rPr>
          <w:rFonts w:cs="Arial"/>
          <w:b w:val="0"/>
          <w:snapToGrid w:val="0"/>
          <w:sz w:val="20"/>
        </w:rPr>
        <w:t>2</w:t>
      </w:r>
      <w:r w:rsidR="00A32455">
        <w:rPr>
          <w:rFonts w:cs="Arial"/>
          <w:b w:val="0"/>
          <w:snapToGrid w:val="0"/>
          <w:sz w:val="20"/>
        </w:rPr>
        <w:t>,</w:t>
      </w:r>
      <w:r w:rsidR="00325718">
        <w:rPr>
          <w:rFonts w:cs="Arial"/>
          <w:b w:val="0"/>
          <w:snapToGrid w:val="0"/>
          <w:sz w:val="20"/>
        </w:rPr>
        <w:t>2</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proofErr w:type="gramStart"/>
      <w:r>
        <w:rPr>
          <w:rFonts w:cs="Arial"/>
          <w:sz w:val="20"/>
        </w:rPr>
        <w:t>Самый дорогой район «</w:t>
      </w:r>
      <w:r w:rsidR="00DE4D44">
        <w:rPr>
          <w:rFonts w:cs="Arial"/>
          <w:sz w:val="20"/>
        </w:rPr>
        <w:t>Центр</w:t>
      </w:r>
      <w:r>
        <w:rPr>
          <w:rFonts w:cs="Arial"/>
          <w:sz w:val="20"/>
        </w:rPr>
        <w:t>», средняя удельная цена предложения 1</w:t>
      </w:r>
      <w:r w:rsidR="00001D31">
        <w:rPr>
          <w:rFonts w:cs="Arial"/>
          <w:sz w:val="20"/>
        </w:rPr>
        <w:t>3</w:t>
      </w:r>
      <w:r w:rsidR="00325718">
        <w:rPr>
          <w:rFonts w:cs="Arial"/>
          <w:sz w:val="20"/>
        </w:rPr>
        <w:t>9</w:t>
      </w:r>
      <w:r w:rsidR="00001D31">
        <w:rPr>
          <w:rFonts w:cs="Arial"/>
          <w:sz w:val="20"/>
        </w:rPr>
        <w:t xml:space="preserve"> </w:t>
      </w:r>
      <w:r w:rsidR="00325718">
        <w:rPr>
          <w:rFonts w:cs="Arial"/>
          <w:sz w:val="20"/>
        </w:rPr>
        <w:t>14</w:t>
      </w:r>
      <w:r>
        <w:rPr>
          <w:rFonts w:cs="Arial"/>
          <w:sz w:val="20"/>
        </w:rPr>
        <w:t xml:space="preserve"> руб./кв.м., самый дешевый район «</w:t>
      </w:r>
      <w:r w:rsidR="00421AA9">
        <w:rPr>
          <w:rFonts w:cs="Arial"/>
          <w:sz w:val="20"/>
        </w:rPr>
        <w:t>о</w:t>
      </w:r>
      <w:r>
        <w:rPr>
          <w:rFonts w:cs="Arial"/>
          <w:sz w:val="20"/>
        </w:rPr>
        <w:t xml:space="preserve">. </w:t>
      </w:r>
      <w:r w:rsidR="00145E83">
        <w:rPr>
          <w:rFonts w:cs="Arial"/>
          <w:sz w:val="20"/>
        </w:rPr>
        <w:t>Русский</w:t>
      </w:r>
      <w:r>
        <w:rPr>
          <w:rFonts w:cs="Arial"/>
          <w:sz w:val="20"/>
        </w:rPr>
        <w:t>»</w:t>
      </w:r>
      <w:r w:rsidR="00CB0103">
        <w:rPr>
          <w:rFonts w:cs="Arial"/>
          <w:sz w:val="20"/>
        </w:rPr>
        <w:t xml:space="preserve"> -</w:t>
      </w:r>
      <w:r>
        <w:rPr>
          <w:rFonts w:cs="Arial"/>
          <w:sz w:val="20"/>
        </w:rPr>
        <w:t xml:space="preserve"> </w:t>
      </w:r>
      <w:r w:rsidR="00145E83">
        <w:rPr>
          <w:rFonts w:cs="Arial"/>
          <w:sz w:val="20"/>
        </w:rPr>
        <w:t>6</w:t>
      </w:r>
      <w:r w:rsidR="00325718">
        <w:rPr>
          <w:rFonts w:cs="Arial"/>
          <w:sz w:val="20"/>
        </w:rPr>
        <w:t>2</w:t>
      </w:r>
      <w:r w:rsidR="00145E83">
        <w:rPr>
          <w:rFonts w:cs="Arial"/>
          <w:sz w:val="20"/>
        </w:rPr>
        <w:t xml:space="preserve"> </w:t>
      </w:r>
      <w:r w:rsidR="00325718">
        <w:rPr>
          <w:rFonts w:cs="Arial"/>
          <w:sz w:val="20"/>
        </w:rPr>
        <w:t>993</w:t>
      </w:r>
      <w:r>
        <w:rPr>
          <w:rFonts w:cs="Arial"/>
          <w:sz w:val="20"/>
        </w:rPr>
        <w:t xml:space="preserve"> руб./кв.м.</w:t>
      </w:r>
      <w:proofErr w:type="gramEnd"/>
    </w:p>
    <w:p w:rsidR="00981F94" w:rsidRDefault="00187D71" w:rsidP="00155DF2">
      <w:pPr>
        <w:spacing w:before="100" w:beforeAutospacing="1" w:after="100" w:afterAutospacing="1"/>
        <w:ind w:firstLine="708"/>
        <w:jc w:val="both"/>
        <w:rPr>
          <w:rFonts w:cs="Arial"/>
          <w:sz w:val="20"/>
          <w:lang w:val="en-US"/>
        </w:rPr>
      </w:pPr>
      <w:r w:rsidRPr="001867EF">
        <w:rPr>
          <w:rFonts w:cs="Arial"/>
          <w:sz w:val="20"/>
        </w:rPr>
        <w:t xml:space="preserve">В </w:t>
      </w:r>
      <w:r>
        <w:rPr>
          <w:rFonts w:cs="Arial"/>
          <w:sz w:val="20"/>
        </w:rPr>
        <w:t>Ноябре</w:t>
      </w:r>
      <w:r w:rsidRPr="001867EF">
        <w:rPr>
          <w:rFonts w:cs="Arial"/>
          <w:sz w:val="20"/>
        </w:rPr>
        <w:t xml:space="preserve"> 2018 года средняя </w:t>
      </w:r>
      <w:r>
        <w:rPr>
          <w:rFonts w:cs="Arial"/>
          <w:sz w:val="20"/>
        </w:rPr>
        <w:t>взвешенная по площади</w:t>
      </w:r>
      <w:r w:rsidRPr="001867EF">
        <w:rPr>
          <w:rFonts w:cs="Arial"/>
          <w:sz w:val="20"/>
        </w:rPr>
        <w:t xml:space="preserve"> цена предложения на вторичном рынке многоквартирного жилья г. Владивостока составила </w:t>
      </w:r>
      <w:r w:rsidRPr="001867EF">
        <w:rPr>
          <w:rFonts w:cs="Arial"/>
          <w:b/>
          <w:bCs/>
          <w:sz w:val="20"/>
        </w:rPr>
        <w:t>1</w:t>
      </w:r>
      <w:r>
        <w:rPr>
          <w:rFonts w:cs="Arial"/>
          <w:b/>
          <w:bCs/>
          <w:sz w:val="20"/>
        </w:rPr>
        <w:t>0</w:t>
      </w:r>
      <w:r w:rsidRPr="003B3E22">
        <w:rPr>
          <w:rFonts w:cs="Arial"/>
          <w:b/>
          <w:bCs/>
          <w:sz w:val="20"/>
        </w:rPr>
        <w:t>7</w:t>
      </w:r>
      <w:r>
        <w:rPr>
          <w:rFonts w:cs="Arial"/>
          <w:b/>
          <w:bCs/>
          <w:sz w:val="20"/>
          <w:lang w:val="en-US"/>
        </w:rPr>
        <w:t> </w:t>
      </w:r>
      <w:r w:rsidRPr="003B3E22">
        <w:rPr>
          <w:rFonts w:cs="Arial"/>
          <w:b/>
          <w:bCs/>
          <w:sz w:val="20"/>
        </w:rPr>
        <w:t>917</w:t>
      </w:r>
      <w:r w:rsidRPr="001867EF">
        <w:rPr>
          <w:rFonts w:cs="Arial"/>
          <w:b/>
          <w:bCs/>
          <w:sz w:val="20"/>
        </w:rPr>
        <w:t xml:space="preserve"> руб./кв.м. и увеличилась на </w:t>
      </w:r>
      <w:r>
        <w:rPr>
          <w:rFonts w:cs="Arial"/>
          <w:b/>
          <w:bCs/>
          <w:sz w:val="20"/>
        </w:rPr>
        <w:t>1</w:t>
      </w:r>
      <w:r w:rsidRPr="001867EF">
        <w:rPr>
          <w:rFonts w:cs="Arial"/>
          <w:b/>
          <w:bCs/>
          <w:sz w:val="20"/>
        </w:rPr>
        <w:t>,</w:t>
      </w:r>
      <w:r>
        <w:rPr>
          <w:rFonts w:cs="Arial"/>
          <w:b/>
          <w:bCs/>
          <w:sz w:val="20"/>
        </w:rPr>
        <w:t>66</w:t>
      </w:r>
      <w:r w:rsidRPr="001867EF">
        <w:rPr>
          <w:rFonts w:cs="Arial"/>
          <w:b/>
          <w:bCs/>
          <w:sz w:val="20"/>
        </w:rPr>
        <w:t>%</w:t>
      </w:r>
      <w:r w:rsidRPr="001867EF">
        <w:rPr>
          <w:rFonts w:cs="Arial"/>
          <w:sz w:val="20"/>
        </w:rPr>
        <w:t> в сравнении с предыдущим месяцем</w:t>
      </w:r>
      <w:r>
        <w:rPr>
          <w:rFonts w:cs="Arial"/>
          <w:sz w:val="20"/>
        </w:rPr>
        <w:t xml:space="preserve">, </w:t>
      </w:r>
      <w:r w:rsidRPr="001867EF">
        <w:rPr>
          <w:rFonts w:cs="Arial"/>
          <w:sz w:val="20"/>
        </w:rPr>
        <w:t xml:space="preserve">средняя полная цена предложения составила </w:t>
      </w:r>
      <w:r>
        <w:rPr>
          <w:rFonts w:cs="Arial"/>
          <w:sz w:val="20"/>
        </w:rPr>
        <w:t xml:space="preserve">6 106 </w:t>
      </w:r>
      <w:r w:rsidRPr="003B3E22">
        <w:rPr>
          <w:rFonts w:cs="Arial"/>
          <w:sz w:val="20"/>
        </w:rPr>
        <w:t>578</w:t>
      </w:r>
      <w:r>
        <w:rPr>
          <w:rFonts w:cs="Arial"/>
          <w:sz w:val="20"/>
        </w:rPr>
        <w:t xml:space="preserve"> </w:t>
      </w:r>
      <w:r w:rsidRPr="001867EF">
        <w:rPr>
          <w:rFonts w:cs="Arial"/>
          <w:sz w:val="20"/>
        </w:rPr>
        <w:t>руб.</w:t>
      </w:r>
      <w:r>
        <w:rPr>
          <w:rFonts w:cs="Arial"/>
          <w:sz w:val="20"/>
        </w:rPr>
        <w:t xml:space="preserve"> и </w:t>
      </w:r>
      <w:r w:rsidRPr="001867EF">
        <w:rPr>
          <w:rFonts w:cs="Arial"/>
          <w:sz w:val="20"/>
        </w:rPr>
        <w:t>у</w:t>
      </w:r>
      <w:r>
        <w:rPr>
          <w:rFonts w:cs="Arial"/>
          <w:sz w:val="20"/>
        </w:rPr>
        <w:t>велич</w:t>
      </w:r>
      <w:r w:rsidRPr="001867EF">
        <w:rPr>
          <w:rFonts w:cs="Arial"/>
          <w:sz w:val="20"/>
        </w:rPr>
        <w:t xml:space="preserve">илась на </w:t>
      </w:r>
      <w:r>
        <w:rPr>
          <w:rFonts w:cs="Arial"/>
          <w:sz w:val="20"/>
        </w:rPr>
        <w:t>1,7</w:t>
      </w:r>
      <w:r w:rsidRPr="003B3E22">
        <w:rPr>
          <w:rFonts w:cs="Arial"/>
          <w:sz w:val="20"/>
        </w:rPr>
        <w:t>6</w:t>
      </w:r>
      <w:r w:rsidRPr="001867EF">
        <w:rPr>
          <w:rFonts w:cs="Arial"/>
          <w:sz w:val="20"/>
        </w:rPr>
        <w:t xml:space="preserve">% в сравнении с </w:t>
      </w:r>
      <w:r>
        <w:rPr>
          <w:rFonts w:cs="Arial"/>
          <w:sz w:val="20"/>
        </w:rPr>
        <w:t>Октябрем месяцем.</w:t>
      </w:r>
    </w:p>
    <w:p w:rsidR="00155DF2" w:rsidRPr="006C6A37" w:rsidRDefault="00D61D74" w:rsidP="00155DF2">
      <w:pPr>
        <w:spacing w:before="100" w:beforeAutospacing="1" w:after="100" w:afterAutospacing="1"/>
        <w:ind w:firstLine="708"/>
        <w:jc w:val="both"/>
        <w:rPr>
          <w:rFonts w:cs="Arial"/>
          <w:sz w:val="20"/>
        </w:rPr>
      </w:pPr>
      <w:proofErr w:type="gramStart"/>
      <w:r w:rsidRPr="006C6A37">
        <w:rPr>
          <w:rFonts w:cs="Arial"/>
          <w:sz w:val="20"/>
        </w:rPr>
        <w:t>Ц</w:t>
      </w:r>
      <w:r w:rsidR="00155DF2" w:rsidRPr="006C6A37">
        <w:rPr>
          <w:rFonts w:cs="Arial"/>
          <w:sz w:val="20"/>
        </w:rPr>
        <w:t xml:space="preserve">ена предложения за </w:t>
      </w:r>
      <w:r w:rsidRPr="006C6A37">
        <w:rPr>
          <w:rFonts w:cs="Arial"/>
          <w:sz w:val="20"/>
        </w:rPr>
        <w:t>1.кв./</w:t>
      </w:r>
      <w:r w:rsidR="00155DF2" w:rsidRPr="006C6A37">
        <w:rPr>
          <w:rFonts w:cs="Arial"/>
          <w:sz w:val="20"/>
        </w:rPr>
        <w:t>метр в квартир</w:t>
      </w:r>
      <w:r w:rsidRPr="006C6A37">
        <w:rPr>
          <w:rFonts w:cs="Arial"/>
          <w:sz w:val="20"/>
        </w:rPr>
        <w:t>а</w:t>
      </w:r>
      <w:r w:rsidR="00155DF2" w:rsidRPr="006C6A37">
        <w:rPr>
          <w:rFonts w:cs="Arial"/>
          <w:sz w:val="20"/>
        </w:rPr>
        <w:t xml:space="preserve">х, расположенных на </w:t>
      </w:r>
      <w:r w:rsidR="00155DF2" w:rsidRPr="006C6A37">
        <w:rPr>
          <w:rFonts w:cs="Arial"/>
          <w:b/>
          <w:sz w:val="20"/>
        </w:rPr>
        <w:t xml:space="preserve">средних этажах составила </w:t>
      </w:r>
      <w:r w:rsidR="00A32455" w:rsidRPr="006C6A37">
        <w:rPr>
          <w:rFonts w:cs="Arial"/>
          <w:b/>
          <w:sz w:val="20"/>
        </w:rPr>
        <w:t>10</w:t>
      </w:r>
      <w:r w:rsidR="00981F94" w:rsidRPr="006C6A37">
        <w:rPr>
          <w:rFonts w:cs="Arial"/>
          <w:b/>
          <w:sz w:val="20"/>
        </w:rPr>
        <w:t>6 392</w:t>
      </w:r>
      <w:r w:rsidR="00155DF2" w:rsidRPr="006C6A37">
        <w:rPr>
          <w:rFonts w:cs="Arial"/>
          <w:b/>
          <w:sz w:val="20"/>
        </w:rPr>
        <w:t xml:space="preserve"> руб. </w:t>
      </w:r>
      <w:r w:rsidR="00155DF2" w:rsidRPr="006C6A37">
        <w:rPr>
          <w:rFonts w:cs="Arial"/>
          <w:sz w:val="20"/>
        </w:rPr>
        <w:t>(</w:t>
      </w:r>
      <w:r w:rsidR="00981F94" w:rsidRPr="006C6A37">
        <w:rPr>
          <w:rFonts w:cs="Arial"/>
          <w:sz w:val="20"/>
        </w:rPr>
        <w:t>1</w:t>
      </w:r>
      <w:r w:rsidR="00A32455" w:rsidRPr="006C6A37">
        <w:rPr>
          <w:rFonts w:cs="Arial"/>
          <w:sz w:val="20"/>
        </w:rPr>
        <w:t>,</w:t>
      </w:r>
      <w:r w:rsidR="002B4C7A" w:rsidRPr="006C6A37">
        <w:rPr>
          <w:rFonts w:cs="Arial"/>
          <w:sz w:val="20"/>
        </w:rPr>
        <w:t>4</w:t>
      </w:r>
      <w:r w:rsidR="00981F94" w:rsidRPr="006C6A37">
        <w:rPr>
          <w:rFonts w:cs="Arial"/>
          <w:sz w:val="20"/>
        </w:rPr>
        <w:t>2</w:t>
      </w:r>
      <w:r w:rsidR="00155DF2" w:rsidRPr="006C6A37">
        <w:rPr>
          <w:rFonts w:cs="Arial"/>
          <w:sz w:val="20"/>
        </w:rPr>
        <w:t xml:space="preserve">% к предыдущему месяцу), на последних этажах </w:t>
      </w:r>
      <w:r w:rsidR="00325718" w:rsidRPr="006C6A37">
        <w:rPr>
          <w:rFonts w:cs="Arial"/>
          <w:sz w:val="20"/>
        </w:rPr>
        <w:t>101 514</w:t>
      </w:r>
      <w:r w:rsidR="00155DF2" w:rsidRPr="006C6A37">
        <w:rPr>
          <w:rFonts w:cs="Arial"/>
          <w:sz w:val="20"/>
        </w:rPr>
        <w:t xml:space="preserve"> руб., на первых и цокольных этажах </w:t>
      </w:r>
      <w:r w:rsidR="00325718" w:rsidRPr="006C6A37">
        <w:rPr>
          <w:rFonts w:cs="Arial"/>
          <w:sz w:val="20"/>
        </w:rPr>
        <w:t>96 695</w:t>
      </w:r>
      <w:r w:rsidR="00155DF2" w:rsidRPr="006C6A37">
        <w:rPr>
          <w:rFonts w:cs="Arial"/>
          <w:sz w:val="20"/>
        </w:rPr>
        <w:t xml:space="preserve"> руб. </w:t>
      </w:r>
      <w:r w:rsidRPr="006C6A37">
        <w:rPr>
          <w:rFonts w:cs="Arial"/>
          <w:sz w:val="20"/>
        </w:rPr>
        <w:t>Ц</w:t>
      </w:r>
      <w:r w:rsidR="00155DF2" w:rsidRPr="006C6A37">
        <w:rPr>
          <w:rFonts w:cs="Arial"/>
          <w:sz w:val="20"/>
        </w:rPr>
        <w:t xml:space="preserve">ена предложения за </w:t>
      </w:r>
      <w:r w:rsidRPr="006C6A37">
        <w:rPr>
          <w:rFonts w:cs="Arial"/>
          <w:sz w:val="20"/>
        </w:rPr>
        <w:t>1 кв./</w:t>
      </w:r>
      <w:r w:rsidR="00155DF2" w:rsidRPr="006C6A37">
        <w:rPr>
          <w:rFonts w:cs="Arial"/>
          <w:sz w:val="20"/>
        </w:rPr>
        <w:t xml:space="preserve">метр в квартирах, </w:t>
      </w:r>
      <w:r w:rsidR="00155DF2" w:rsidRPr="006C6A37">
        <w:rPr>
          <w:rFonts w:cs="Arial"/>
          <w:b/>
          <w:sz w:val="20"/>
        </w:rPr>
        <w:t>расположенных в кирпичных домах составила 10</w:t>
      </w:r>
      <w:r w:rsidR="00325718" w:rsidRPr="006C6A37">
        <w:rPr>
          <w:rFonts w:cs="Arial"/>
          <w:b/>
          <w:sz w:val="20"/>
        </w:rPr>
        <w:t>8 825</w:t>
      </w:r>
      <w:r w:rsidR="00155DF2" w:rsidRPr="006C6A37">
        <w:rPr>
          <w:rFonts w:cs="Arial"/>
          <w:b/>
          <w:sz w:val="20"/>
        </w:rPr>
        <w:t xml:space="preserve"> руб. (</w:t>
      </w:r>
      <w:r w:rsidR="00DF56DF" w:rsidRPr="006C6A37">
        <w:rPr>
          <w:rFonts w:cs="Arial"/>
          <w:b/>
          <w:sz w:val="20"/>
        </w:rPr>
        <w:t>1,</w:t>
      </w:r>
      <w:r w:rsidR="00325718" w:rsidRPr="006C6A37">
        <w:rPr>
          <w:rFonts w:cs="Arial"/>
          <w:b/>
          <w:sz w:val="20"/>
        </w:rPr>
        <w:t>55</w:t>
      </w:r>
      <w:r w:rsidR="00155DF2" w:rsidRPr="006C6A37">
        <w:rPr>
          <w:rFonts w:cs="Arial"/>
          <w:b/>
          <w:sz w:val="20"/>
        </w:rPr>
        <w:t>%к предыдущему месяцу)</w:t>
      </w:r>
      <w:r w:rsidR="00155DF2" w:rsidRPr="006C6A37">
        <w:rPr>
          <w:rFonts w:cs="Arial"/>
          <w:sz w:val="20"/>
        </w:rPr>
        <w:t>, в панельных – 9</w:t>
      </w:r>
      <w:r w:rsidR="00325718" w:rsidRPr="006C6A37">
        <w:rPr>
          <w:rFonts w:cs="Arial"/>
          <w:sz w:val="20"/>
        </w:rPr>
        <w:t>8 950</w:t>
      </w:r>
      <w:r w:rsidR="00155DF2" w:rsidRPr="006C6A37">
        <w:rPr>
          <w:rFonts w:cs="Arial"/>
          <w:sz w:val="20"/>
        </w:rPr>
        <w:t xml:space="preserve"> руб., в</w:t>
      </w:r>
      <w:proofErr w:type="gramEnd"/>
      <w:r w:rsidR="00155DF2" w:rsidRPr="006C6A37">
        <w:rPr>
          <w:rFonts w:cs="Arial"/>
          <w:sz w:val="20"/>
        </w:rPr>
        <w:t xml:space="preserve"> деревянных – </w:t>
      </w:r>
      <w:r w:rsidR="00325718" w:rsidRPr="006C6A37">
        <w:rPr>
          <w:rFonts w:cs="Arial"/>
          <w:sz w:val="20"/>
        </w:rPr>
        <w:t>73 092</w:t>
      </w:r>
      <w:r w:rsidR="00155DF2" w:rsidRPr="006C6A37">
        <w:rPr>
          <w:rFonts w:cs="Arial"/>
          <w:sz w:val="20"/>
        </w:rPr>
        <w:t xml:space="preserve"> руб./кв.м.</w:t>
      </w:r>
    </w:p>
    <w:p w:rsidR="000B2ADE" w:rsidRPr="000B5EDB" w:rsidRDefault="000B2ADE" w:rsidP="000B2ADE">
      <w:pPr>
        <w:pStyle w:val="21"/>
        <w:rPr>
          <w:rFonts w:cs="Arial"/>
          <w:b w:val="0"/>
          <w:sz w:val="20"/>
        </w:rPr>
      </w:pPr>
      <w:r w:rsidRPr="00752164">
        <w:rPr>
          <w:rFonts w:cs="Arial"/>
          <w:b w:val="0"/>
          <w:sz w:val="20"/>
        </w:rPr>
        <w:t>В домах новостройках, первичный рынок, в г. Владивосток средневзвешенная по площади цена пр</w:t>
      </w:r>
      <w:r w:rsidRPr="003544D2">
        <w:rPr>
          <w:rFonts w:cs="Arial"/>
          <w:b w:val="0"/>
          <w:sz w:val="20"/>
        </w:rPr>
        <w:t xml:space="preserve">едложения в </w:t>
      </w:r>
      <w:r w:rsidR="00981F94">
        <w:rPr>
          <w:rFonts w:cs="Arial"/>
          <w:b w:val="0"/>
          <w:sz w:val="20"/>
        </w:rPr>
        <w:t>Но</w:t>
      </w:r>
      <w:r w:rsidR="00001D31">
        <w:rPr>
          <w:rFonts w:cs="Arial"/>
          <w:b w:val="0"/>
          <w:sz w:val="20"/>
        </w:rPr>
        <w:t>ябре</w:t>
      </w:r>
      <w:r w:rsidRPr="003544D2">
        <w:rPr>
          <w:rFonts w:cs="Arial"/>
          <w:b w:val="0"/>
          <w:sz w:val="20"/>
        </w:rPr>
        <w:t xml:space="preserve"> 201</w:t>
      </w:r>
      <w:r w:rsidR="00A104B6">
        <w:rPr>
          <w:rFonts w:cs="Arial"/>
          <w:b w:val="0"/>
          <w:sz w:val="20"/>
        </w:rPr>
        <w:t>8</w:t>
      </w:r>
      <w:r w:rsidRPr="003544D2">
        <w:rPr>
          <w:rFonts w:cs="Arial"/>
          <w:b w:val="0"/>
          <w:sz w:val="20"/>
        </w:rPr>
        <w:t xml:space="preserve"> г. составила </w:t>
      </w:r>
      <w:r w:rsidR="00145E83">
        <w:rPr>
          <w:rFonts w:cs="Arial"/>
          <w:sz w:val="20"/>
        </w:rPr>
        <w:t>9</w:t>
      </w:r>
      <w:r w:rsidR="00001D31">
        <w:rPr>
          <w:rFonts w:cs="Arial"/>
          <w:sz w:val="20"/>
        </w:rPr>
        <w:t>7</w:t>
      </w:r>
      <w:r w:rsidR="00A32455">
        <w:rPr>
          <w:rFonts w:cs="Arial"/>
          <w:sz w:val="20"/>
        </w:rPr>
        <w:t xml:space="preserve"> </w:t>
      </w:r>
      <w:r w:rsidR="00981F94">
        <w:rPr>
          <w:rFonts w:cs="Arial"/>
          <w:sz w:val="20"/>
        </w:rPr>
        <w:t>991</w:t>
      </w:r>
      <w:r>
        <w:rPr>
          <w:rFonts w:cs="Arial"/>
          <w:sz w:val="20"/>
        </w:rPr>
        <w:t xml:space="preserve"> (</w:t>
      </w:r>
      <w:r w:rsidR="00A32455">
        <w:rPr>
          <w:rFonts w:cs="Arial"/>
          <w:sz w:val="20"/>
        </w:rPr>
        <w:t>+</w:t>
      </w:r>
      <w:r w:rsidR="00001D31">
        <w:rPr>
          <w:rFonts w:cs="Arial"/>
          <w:sz w:val="20"/>
        </w:rPr>
        <w:t>1</w:t>
      </w:r>
      <w:r w:rsidR="00DF56DF">
        <w:rPr>
          <w:rFonts w:cs="Arial"/>
          <w:sz w:val="20"/>
        </w:rPr>
        <w:t>,</w:t>
      </w:r>
      <w:r w:rsidR="00981F94">
        <w:rPr>
          <w:rFonts w:cs="Arial"/>
          <w:sz w:val="20"/>
        </w:rPr>
        <w:t>9</w:t>
      </w:r>
      <w:r w:rsidR="00001D31">
        <w:rPr>
          <w:rFonts w:cs="Arial"/>
          <w:sz w:val="20"/>
        </w:rPr>
        <w:t>6</w:t>
      </w:r>
      <w:r w:rsidRPr="003544D2">
        <w:rPr>
          <w:rFonts w:cs="Arial"/>
          <w:sz w:val="20"/>
        </w:rPr>
        <w:t xml:space="preserve"> руб./кв.м.</w:t>
      </w:r>
      <w:r>
        <w:rPr>
          <w:rFonts w:cs="Arial"/>
          <w:sz w:val="20"/>
        </w:rPr>
        <w:t xml:space="preserve"> к предыдущему месяцу).</w:t>
      </w:r>
    </w:p>
    <w:p w:rsidR="00F32DD9" w:rsidRDefault="00F32DD9" w:rsidP="008A782A">
      <w:pPr>
        <w:pStyle w:val="2"/>
        <w:rPr>
          <w:rFonts w:ascii="Arial" w:hAnsi="Arial" w:cs="Arial"/>
          <w:sz w:val="20"/>
          <w:szCs w:val="20"/>
        </w:rPr>
      </w:pPr>
      <w:bookmarkStart w:id="2" w:name="_Toc531533056"/>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052563" w:rsidRDefault="00325718" w:rsidP="00AA4D14">
      <w:r>
        <w:rPr>
          <w:noProof/>
        </w:rPr>
        <w:drawing>
          <wp:inline distT="0" distB="0" distL="0" distR="0" wp14:anchorId="0826E4AC" wp14:editId="52BF9B3C">
            <wp:extent cx="5940425" cy="1619837"/>
            <wp:effectExtent l="0" t="0" r="222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563" w:rsidRPr="00052563" w:rsidRDefault="00052563" w:rsidP="00052563"/>
    <w:p w:rsidR="003D127B" w:rsidRDefault="00F633B7" w:rsidP="00F32DD9">
      <w:pPr>
        <w:pStyle w:val="21"/>
        <w:ind w:firstLine="0"/>
        <w:rPr>
          <w:rFonts w:cs="Arial"/>
          <w:b w:val="0"/>
          <w:sz w:val="20"/>
        </w:rPr>
      </w:pPr>
      <w:r>
        <w:rPr>
          <w:rFonts w:cs="Arial"/>
          <w:b w:val="0"/>
          <w:sz w:val="20"/>
        </w:rPr>
        <w:tab/>
      </w:r>
      <w:r w:rsidR="00963CC6">
        <w:rPr>
          <w:rFonts w:cs="Arial"/>
          <w:b w:val="0"/>
          <w:sz w:val="20"/>
        </w:rPr>
        <w:t>Продолжается</w:t>
      </w:r>
      <w:r>
        <w:rPr>
          <w:rFonts w:cs="Arial"/>
          <w:b w:val="0"/>
          <w:sz w:val="20"/>
        </w:rPr>
        <w:t xml:space="preserve"> рост цены </w:t>
      </w:r>
      <w:proofErr w:type="gramStart"/>
      <w:r>
        <w:rPr>
          <w:rFonts w:cs="Arial"/>
          <w:b w:val="0"/>
          <w:sz w:val="20"/>
        </w:rPr>
        <w:t>предложения</w:t>
      </w:r>
      <w:proofErr w:type="gramEnd"/>
      <w:r>
        <w:rPr>
          <w:rFonts w:cs="Arial"/>
          <w:b w:val="0"/>
          <w:sz w:val="20"/>
        </w:rPr>
        <w:t xml:space="preserve"> на Вторичном рынке жилья </w:t>
      </w:r>
      <w:r w:rsidR="00BA097A">
        <w:rPr>
          <w:rFonts w:cs="Arial"/>
          <w:b w:val="0"/>
          <w:sz w:val="20"/>
        </w:rPr>
        <w:t xml:space="preserve">Владивостока начавшийся в </w:t>
      </w:r>
      <w:r w:rsidR="00325718">
        <w:rPr>
          <w:rFonts w:cs="Arial"/>
          <w:b w:val="0"/>
          <w:sz w:val="20"/>
        </w:rPr>
        <w:t>конце</w:t>
      </w:r>
      <w:r w:rsidR="00BA097A">
        <w:rPr>
          <w:rFonts w:cs="Arial"/>
          <w:b w:val="0"/>
          <w:sz w:val="20"/>
        </w:rPr>
        <w:t xml:space="preserve"> 201</w:t>
      </w:r>
      <w:r w:rsidR="00325718">
        <w:rPr>
          <w:rFonts w:cs="Arial"/>
          <w:b w:val="0"/>
          <w:sz w:val="20"/>
        </w:rPr>
        <w:t>7</w:t>
      </w:r>
      <w:r w:rsidR="00BA097A">
        <w:rPr>
          <w:rFonts w:cs="Arial"/>
          <w:b w:val="0"/>
          <w:sz w:val="20"/>
        </w:rPr>
        <w:t xml:space="preserve"> года</w:t>
      </w:r>
      <w:r>
        <w:rPr>
          <w:rFonts w:cs="Arial"/>
          <w:b w:val="0"/>
          <w:sz w:val="20"/>
        </w:rPr>
        <w:t>.</w:t>
      </w: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3D127B" w:rsidRDefault="003D127B" w:rsidP="00F32DD9">
      <w:pPr>
        <w:pStyle w:val="21"/>
        <w:ind w:firstLine="0"/>
        <w:rPr>
          <w:rFonts w:cs="Arial"/>
          <w:b w:val="0"/>
          <w:sz w:val="20"/>
        </w:rPr>
      </w:pPr>
    </w:p>
    <w:p w:rsidR="00F027FA" w:rsidRDefault="00F027FA" w:rsidP="00F32DD9">
      <w:pPr>
        <w:pStyle w:val="21"/>
        <w:rPr>
          <w:rFonts w:cs="Arial"/>
          <w:color w:val="000000"/>
          <w:sz w:val="20"/>
        </w:rPr>
      </w:pPr>
      <w:r>
        <w:rPr>
          <w:rFonts w:cs="Arial"/>
          <w:color w:val="000000"/>
          <w:sz w:val="20"/>
        </w:rPr>
        <w:br w:type="page"/>
      </w:r>
    </w:p>
    <w:p w:rsidR="00187D71" w:rsidRDefault="00187D71" w:rsidP="00187D71">
      <w:pPr>
        <w:pStyle w:val="2"/>
        <w:rPr>
          <w:rFonts w:ascii="Arial" w:hAnsi="Arial" w:cs="Arial"/>
          <w:sz w:val="20"/>
          <w:szCs w:val="20"/>
        </w:rPr>
      </w:pPr>
      <w:bookmarkStart w:id="3" w:name="_Toc531533057"/>
      <w:bookmarkStart w:id="4" w:name="_Toc517610821"/>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187D71" w:rsidRPr="00606126" w:rsidTr="00A60DB8">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87D71" w:rsidRPr="00606126" w:rsidRDefault="00187D71" w:rsidP="00A60DB8">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87D71" w:rsidRPr="00606126" w:rsidRDefault="00187D71" w:rsidP="00A60DB8">
            <w:pPr>
              <w:jc w:val="center"/>
              <w:rPr>
                <w:rFonts w:cs="Arial"/>
                <w:color w:val="000000"/>
                <w:sz w:val="20"/>
              </w:rPr>
            </w:pPr>
            <w:r w:rsidRPr="00606126">
              <w:rPr>
                <w:rFonts w:cs="Arial"/>
                <w:color w:val="000000"/>
                <w:sz w:val="20"/>
              </w:rPr>
              <w:t>Средняя цена</w:t>
            </w:r>
          </w:p>
        </w:tc>
      </w:tr>
      <w:tr w:rsidR="00187D71" w:rsidRPr="00606126" w:rsidTr="00A60DB8">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D71" w:rsidRPr="00606126" w:rsidRDefault="00187D71" w:rsidP="00A60DB8">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187D71" w:rsidRPr="003B3E22" w:rsidRDefault="00187D71" w:rsidP="00A60DB8">
            <w:pPr>
              <w:jc w:val="center"/>
              <w:rPr>
                <w:rFonts w:cs="Arial"/>
                <w:b/>
                <w:color w:val="000000"/>
                <w:sz w:val="20"/>
                <w:lang w:val="en-US"/>
              </w:rPr>
            </w:pPr>
            <w:r>
              <w:rPr>
                <w:rFonts w:cs="Arial"/>
                <w:b/>
                <w:sz w:val="20"/>
                <w:lang w:val="en-US"/>
              </w:rPr>
              <w:t>10</w:t>
            </w:r>
            <w:r>
              <w:rPr>
                <w:rFonts w:cs="Arial"/>
                <w:b/>
                <w:sz w:val="20"/>
              </w:rPr>
              <w:t>7 9</w:t>
            </w:r>
            <w:r>
              <w:rPr>
                <w:rFonts w:cs="Arial"/>
                <w:b/>
                <w:sz w:val="20"/>
                <w:lang w:val="en-US"/>
              </w:rPr>
              <w:t>17</w:t>
            </w:r>
          </w:p>
        </w:tc>
      </w:tr>
    </w:tbl>
    <w:p w:rsidR="00187D71" w:rsidRDefault="00187D71" w:rsidP="00187D71">
      <w:pPr>
        <w:pStyle w:val="2"/>
        <w:rPr>
          <w:rFonts w:ascii="Arial" w:hAnsi="Arial" w:cs="Arial"/>
          <w:sz w:val="20"/>
          <w:szCs w:val="20"/>
        </w:rPr>
      </w:pPr>
      <w:bookmarkStart w:id="5" w:name="_Toc531533058"/>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5"/>
    </w:p>
    <w:tbl>
      <w:tblPr>
        <w:tblW w:w="7170" w:type="dxa"/>
        <w:jc w:val="center"/>
        <w:tblInd w:w="93" w:type="dxa"/>
        <w:tblLook w:val="04A0" w:firstRow="1" w:lastRow="0" w:firstColumn="1" w:lastColumn="0" w:noHBand="0" w:noVBand="1"/>
      </w:tblPr>
      <w:tblGrid>
        <w:gridCol w:w="1960"/>
        <w:gridCol w:w="1823"/>
        <w:gridCol w:w="1807"/>
        <w:gridCol w:w="1580"/>
      </w:tblGrid>
      <w:tr w:rsidR="00187D71" w:rsidRPr="000275F6" w:rsidTr="00A60DB8">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D71" w:rsidRPr="000275F6" w:rsidRDefault="00187D71" w:rsidP="00A60DB8">
            <w:pPr>
              <w:jc w:val="center"/>
              <w:rPr>
                <w:rFonts w:cs="Arial"/>
                <w:b/>
                <w:bCs/>
                <w:color w:val="000000"/>
                <w:sz w:val="20"/>
              </w:rPr>
            </w:pP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187D71" w:rsidRPr="0082525C" w:rsidRDefault="00187D71" w:rsidP="00A60DB8">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Ноябрь</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187D71" w:rsidRPr="0082525C" w:rsidRDefault="00187D71" w:rsidP="00A60DB8">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87D71" w:rsidRPr="006B7E6F" w:rsidRDefault="00187D71" w:rsidP="00A60DB8">
            <w:pPr>
              <w:spacing w:before="100" w:beforeAutospacing="1" w:after="100" w:afterAutospacing="1"/>
              <w:jc w:val="center"/>
              <w:rPr>
                <w:rFonts w:cs="Arial"/>
                <w:color w:val="333333"/>
                <w:sz w:val="20"/>
              </w:rPr>
            </w:pPr>
          </w:p>
        </w:tc>
      </w:tr>
      <w:tr w:rsidR="00187D71" w:rsidRPr="000275F6" w:rsidTr="00A60DB8">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87D71" w:rsidRPr="000275F6" w:rsidRDefault="00187D71" w:rsidP="00A60DB8">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8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87D71" w:rsidRPr="006B7E6F" w:rsidRDefault="00187D71" w:rsidP="00A60DB8">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807" w:type="dxa"/>
            <w:tcBorders>
              <w:top w:val="nil"/>
              <w:left w:val="nil"/>
              <w:bottom w:val="single" w:sz="4" w:space="0" w:color="auto"/>
              <w:right w:val="single" w:sz="4" w:space="0" w:color="auto"/>
            </w:tcBorders>
            <w:shd w:val="clear" w:color="auto" w:fill="D6E3BC" w:themeFill="accent3" w:themeFillTint="66"/>
            <w:noWrap/>
            <w:vAlign w:val="center"/>
            <w:hideMark/>
          </w:tcPr>
          <w:p w:rsidR="00187D71" w:rsidRPr="006B7E6F" w:rsidRDefault="00187D71" w:rsidP="00A60DB8">
            <w:pPr>
              <w:spacing w:before="100" w:beforeAutospacing="1" w:after="100" w:afterAutospacing="1"/>
              <w:jc w:val="center"/>
              <w:rPr>
                <w:rFonts w:cs="Arial"/>
                <w:color w:val="333333"/>
                <w:sz w:val="20"/>
              </w:rPr>
            </w:pPr>
            <w:r w:rsidRPr="006B7E6F">
              <w:rPr>
                <w:rFonts w:cs="Arial"/>
                <w:b/>
                <w:bCs/>
                <w:color w:val="333333"/>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87D71" w:rsidRPr="006B7E6F" w:rsidRDefault="00187D71" w:rsidP="00A60DB8">
            <w:pPr>
              <w:spacing w:before="100" w:beforeAutospacing="1" w:after="100" w:afterAutospacing="1"/>
              <w:jc w:val="center"/>
              <w:rPr>
                <w:rFonts w:cs="Arial"/>
                <w:color w:val="333333"/>
                <w:sz w:val="20"/>
              </w:rPr>
            </w:pPr>
            <w:r w:rsidRPr="006B7E6F">
              <w:rPr>
                <w:rFonts w:cs="Arial"/>
                <w:b/>
                <w:bCs/>
                <w:color w:val="333333"/>
                <w:sz w:val="20"/>
              </w:rPr>
              <w:t>% изм.</w:t>
            </w:r>
          </w:p>
        </w:tc>
      </w:tr>
      <w:tr w:rsidR="00187D71" w:rsidRPr="000275F6" w:rsidTr="00A60DB8">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деревянный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73 092</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73 318</w:t>
            </w:r>
          </w:p>
        </w:tc>
        <w:tc>
          <w:tcPr>
            <w:tcW w:w="1580" w:type="dxa"/>
            <w:tcBorders>
              <w:top w:val="nil"/>
              <w:left w:val="nil"/>
              <w:bottom w:val="single" w:sz="4" w:space="0" w:color="auto"/>
              <w:right w:val="single" w:sz="4" w:space="0" w:color="auto"/>
            </w:tcBorders>
            <w:shd w:val="clear" w:color="auto" w:fill="auto"/>
            <w:noWrap/>
            <w:vAlign w:val="center"/>
            <w:hideMark/>
          </w:tcPr>
          <w:p w:rsidR="00187D71" w:rsidRDefault="00187D71" w:rsidP="00A60DB8">
            <w:pPr>
              <w:jc w:val="center"/>
              <w:rPr>
                <w:rFonts w:cs="Arial"/>
                <w:color w:val="000000"/>
                <w:sz w:val="20"/>
              </w:rPr>
            </w:pPr>
            <w:r>
              <w:rPr>
                <w:rFonts w:cs="Arial"/>
                <w:color w:val="000000"/>
                <w:sz w:val="20"/>
              </w:rPr>
              <w:t>-0,31%</w:t>
            </w:r>
          </w:p>
        </w:tc>
      </w:tr>
      <w:tr w:rsidR="00187D71" w:rsidRPr="000275F6" w:rsidTr="00A60DB8">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кирпичный</w:t>
            </w:r>
          </w:p>
        </w:tc>
        <w:tc>
          <w:tcPr>
            <w:tcW w:w="1823"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108 825</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107 161</w:t>
            </w:r>
          </w:p>
        </w:tc>
        <w:tc>
          <w:tcPr>
            <w:tcW w:w="1580" w:type="dxa"/>
            <w:tcBorders>
              <w:top w:val="nil"/>
              <w:left w:val="nil"/>
              <w:bottom w:val="single" w:sz="4" w:space="0" w:color="auto"/>
              <w:right w:val="single" w:sz="4" w:space="0" w:color="auto"/>
            </w:tcBorders>
            <w:shd w:val="clear" w:color="auto" w:fill="auto"/>
            <w:noWrap/>
            <w:vAlign w:val="center"/>
            <w:hideMark/>
          </w:tcPr>
          <w:p w:rsidR="00187D71" w:rsidRDefault="00187D71" w:rsidP="00A60DB8">
            <w:pPr>
              <w:jc w:val="center"/>
              <w:rPr>
                <w:rFonts w:cs="Arial"/>
                <w:color w:val="000000"/>
                <w:sz w:val="20"/>
              </w:rPr>
            </w:pPr>
            <w:r>
              <w:rPr>
                <w:rFonts w:cs="Arial"/>
                <w:color w:val="000000"/>
                <w:sz w:val="20"/>
              </w:rPr>
              <w:t>1,55%</w:t>
            </w:r>
          </w:p>
        </w:tc>
      </w:tr>
      <w:tr w:rsidR="00187D71" w:rsidRPr="000275F6" w:rsidTr="00A60DB8">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монолитный</w:t>
            </w:r>
          </w:p>
        </w:tc>
        <w:tc>
          <w:tcPr>
            <w:tcW w:w="1823"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117 876</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117 943</w:t>
            </w:r>
          </w:p>
        </w:tc>
        <w:tc>
          <w:tcPr>
            <w:tcW w:w="1580" w:type="dxa"/>
            <w:tcBorders>
              <w:top w:val="nil"/>
              <w:left w:val="nil"/>
              <w:bottom w:val="single" w:sz="4" w:space="0" w:color="auto"/>
              <w:right w:val="single" w:sz="4" w:space="0" w:color="auto"/>
            </w:tcBorders>
            <w:shd w:val="clear" w:color="auto" w:fill="auto"/>
            <w:noWrap/>
            <w:vAlign w:val="center"/>
            <w:hideMark/>
          </w:tcPr>
          <w:p w:rsidR="00187D71" w:rsidRDefault="00187D71" w:rsidP="00A60DB8">
            <w:pPr>
              <w:jc w:val="center"/>
              <w:rPr>
                <w:rFonts w:cs="Arial"/>
                <w:color w:val="000000"/>
                <w:sz w:val="20"/>
              </w:rPr>
            </w:pPr>
            <w:r>
              <w:rPr>
                <w:rFonts w:cs="Arial"/>
                <w:color w:val="000000"/>
                <w:sz w:val="20"/>
              </w:rPr>
              <w:t>-0,06%</w:t>
            </w:r>
          </w:p>
        </w:tc>
      </w:tr>
      <w:tr w:rsidR="00187D71" w:rsidRPr="000275F6" w:rsidTr="00A60DB8">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панельный</w:t>
            </w:r>
          </w:p>
        </w:tc>
        <w:tc>
          <w:tcPr>
            <w:tcW w:w="1823"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98 950</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97 545</w:t>
            </w:r>
          </w:p>
        </w:tc>
        <w:tc>
          <w:tcPr>
            <w:tcW w:w="1580" w:type="dxa"/>
            <w:tcBorders>
              <w:top w:val="nil"/>
              <w:left w:val="nil"/>
              <w:bottom w:val="single" w:sz="4" w:space="0" w:color="auto"/>
              <w:right w:val="single" w:sz="4" w:space="0" w:color="auto"/>
            </w:tcBorders>
            <w:shd w:val="clear" w:color="auto" w:fill="auto"/>
            <w:noWrap/>
            <w:vAlign w:val="center"/>
            <w:hideMark/>
          </w:tcPr>
          <w:p w:rsidR="00187D71" w:rsidRDefault="00187D71" w:rsidP="00A60DB8">
            <w:pPr>
              <w:jc w:val="center"/>
              <w:rPr>
                <w:rFonts w:cs="Arial"/>
                <w:color w:val="000000"/>
                <w:sz w:val="20"/>
              </w:rPr>
            </w:pPr>
            <w:r>
              <w:rPr>
                <w:rFonts w:cs="Arial"/>
                <w:color w:val="000000"/>
                <w:sz w:val="20"/>
              </w:rPr>
              <w:t>1,44%</w:t>
            </w:r>
          </w:p>
        </w:tc>
      </w:tr>
      <w:tr w:rsidR="00187D71" w:rsidRPr="000275F6" w:rsidTr="00A60DB8">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шлакобетонный</w:t>
            </w:r>
          </w:p>
        </w:tc>
        <w:tc>
          <w:tcPr>
            <w:tcW w:w="1823"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88 885</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center"/>
              <w:rPr>
                <w:rFonts w:cs="Arial"/>
                <w:b/>
                <w:bCs/>
                <w:color w:val="000000"/>
                <w:sz w:val="20"/>
              </w:rPr>
            </w:pPr>
            <w:r>
              <w:rPr>
                <w:rFonts w:cs="Arial"/>
                <w:b/>
                <w:bCs/>
                <w:color w:val="000000"/>
                <w:sz w:val="20"/>
              </w:rPr>
              <w:t>85 725</w:t>
            </w:r>
          </w:p>
        </w:tc>
        <w:tc>
          <w:tcPr>
            <w:tcW w:w="1580" w:type="dxa"/>
            <w:tcBorders>
              <w:top w:val="nil"/>
              <w:left w:val="nil"/>
              <w:bottom w:val="single" w:sz="4" w:space="0" w:color="auto"/>
              <w:right w:val="single" w:sz="4" w:space="0" w:color="auto"/>
            </w:tcBorders>
            <w:shd w:val="clear" w:color="auto" w:fill="auto"/>
            <w:noWrap/>
            <w:vAlign w:val="center"/>
            <w:hideMark/>
          </w:tcPr>
          <w:p w:rsidR="00187D71" w:rsidRDefault="00187D71" w:rsidP="00A60DB8">
            <w:pPr>
              <w:jc w:val="center"/>
              <w:rPr>
                <w:rFonts w:cs="Arial"/>
                <w:color w:val="000000"/>
                <w:sz w:val="20"/>
              </w:rPr>
            </w:pPr>
            <w:r>
              <w:rPr>
                <w:rFonts w:cs="Arial"/>
                <w:color w:val="000000"/>
                <w:sz w:val="20"/>
              </w:rPr>
              <w:t>3,69%</w:t>
            </w:r>
          </w:p>
        </w:tc>
      </w:tr>
    </w:tbl>
    <w:p w:rsidR="00187D71" w:rsidRDefault="00187D71" w:rsidP="00187D71">
      <w:pPr>
        <w:pStyle w:val="2"/>
        <w:rPr>
          <w:rFonts w:ascii="Arial" w:hAnsi="Arial" w:cs="Arial"/>
          <w:sz w:val="20"/>
          <w:szCs w:val="20"/>
        </w:rPr>
      </w:pPr>
      <w:bookmarkStart w:id="6" w:name="_Toc531533059"/>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6"/>
    </w:p>
    <w:tbl>
      <w:tblPr>
        <w:tblW w:w="7524" w:type="dxa"/>
        <w:jc w:val="center"/>
        <w:tblInd w:w="93" w:type="dxa"/>
        <w:tblLook w:val="04A0" w:firstRow="1" w:lastRow="0" w:firstColumn="1" w:lastColumn="0" w:noHBand="0" w:noVBand="1"/>
      </w:tblPr>
      <w:tblGrid>
        <w:gridCol w:w="2620"/>
        <w:gridCol w:w="1807"/>
        <w:gridCol w:w="1817"/>
        <w:gridCol w:w="1280"/>
      </w:tblGrid>
      <w:tr w:rsidR="00187D71" w:rsidRPr="000275F6" w:rsidTr="00A60DB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D71" w:rsidRPr="000275F6" w:rsidRDefault="00187D71" w:rsidP="00A60DB8">
            <w:pPr>
              <w:jc w:val="center"/>
              <w:rPr>
                <w:rFonts w:cs="Arial"/>
                <w:b/>
                <w:bCs/>
                <w:color w:val="000000"/>
                <w:sz w:val="20"/>
              </w:rPr>
            </w:pP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187D71" w:rsidRPr="0082525C" w:rsidRDefault="00187D71" w:rsidP="00A60DB8">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Ноябрь</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187D71" w:rsidRPr="0082525C" w:rsidRDefault="00187D71" w:rsidP="00A60DB8">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87D71" w:rsidRPr="006B7E6F" w:rsidRDefault="00187D71" w:rsidP="00A60DB8">
            <w:pPr>
              <w:spacing w:before="100" w:beforeAutospacing="1" w:after="100" w:afterAutospacing="1"/>
              <w:rPr>
                <w:rFonts w:cs="Arial"/>
                <w:color w:val="333333"/>
                <w:sz w:val="20"/>
              </w:rPr>
            </w:pPr>
          </w:p>
        </w:tc>
      </w:tr>
      <w:tr w:rsidR="00187D71" w:rsidRPr="000275F6" w:rsidTr="00A60DB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87D71" w:rsidRPr="000275F6" w:rsidRDefault="00187D71" w:rsidP="00A60DB8">
            <w:pPr>
              <w:jc w:val="center"/>
              <w:rPr>
                <w:rFonts w:cs="Arial"/>
                <w:b/>
                <w:bCs/>
                <w:color w:val="000000"/>
                <w:sz w:val="20"/>
              </w:rPr>
            </w:pPr>
            <w:r w:rsidRPr="000275F6">
              <w:rPr>
                <w:rFonts w:cs="Arial"/>
                <w:b/>
                <w:bCs/>
                <w:color w:val="000000"/>
                <w:sz w:val="20"/>
              </w:rPr>
              <w:t>Этаж расположения</w:t>
            </w:r>
          </w:p>
        </w:tc>
        <w:tc>
          <w:tcPr>
            <w:tcW w:w="180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87D71" w:rsidRPr="008E2711" w:rsidRDefault="00187D71" w:rsidP="00A60DB8">
            <w:pPr>
              <w:spacing w:before="100" w:beforeAutospacing="1" w:after="100" w:afterAutospacing="1"/>
              <w:jc w:val="center"/>
              <w:rPr>
                <w:rFonts w:cs="Arial"/>
                <w:b/>
                <w:color w:val="333333"/>
                <w:sz w:val="20"/>
              </w:rPr>
            </w:pPr>
            <w:r w:rsidRPr="008E2711">
              <w:rPr>
                <w:rFonts w:cs="Arial"/>
                <w:b/>
                <w:bCs/>
                <w:color w:val="333333"/>
                <w:sz w:val="20"/>
              </w:rPr>
              <w:t>Средняя</w:t>
            </w:r>
          </w:p>
        </w:tc>
        <w:tc>
          <w:tcPr>
            <w:tcW w:w="1817" w:type="dxa"/>
            <w:tcBorders>
              <w:top w:val="nil"/>
              <w:left w:val="nil"/>
              <w:bottom w:val="single" w:sz="4" w:space="0" w:color="auto"/>
              <w:right w:val="single" w:sz="4" w:space="0" w:color="auto"/>
            </w:tcBorders>
            <w:shd w:val="clear" w:color="auto" w:fill="D6E3BC" w:themeFill="accent3" w:themeFillTint="66"/>
            <w:noWrap/>
            <w:vAlign w:val="center"/>
            <w:hideMark/>
          </w:tcPr>
          <w:p w:rsidR="00187D71" w:rsidRPr="008E2711" w:rsidRDefault="00187D71" w:rsidP="00A60DB8">
            <w:pPr>
              <w:spacing w:before="100" w:beforeAutospacing="1" w:after="100" w:afterAutospacing="1"/>
              <w:jc w:val="center"/>
              <w:rPr>
                <w:rFonts w:cs="Arial"/>
                <w:b/>
                <w:color w:val="333333"/>
                <w:sz w:val="20"/>
              </w:rPr>
            </w:pPr>
            <w:r w:rsidRPr="008E2711">
              <w:rPr>
                <w:rFonts w:cs="Arial"/>
                <w:b/>
                <w:color w:val="333333"/>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187D71" w:rsidRPr="008E2711" w:rsidRDefault="00187D71" w:rsidP="00A60DB8">
            <w:pPr>
              <w:spacing w:before="100" w:beforeAutospacing="1" w:after="100" w:afterAutospacing="1"/>
              <w:rPr>
                <w:rFonts w:cs="Arial"/>
                <w:b/>
                <w:color w:val="333333"/>
                <w:sz w:val="20"/>
              </w:rPr>
            </w:pPr>
            <w:r w:rsidRPr="008E2711">
              <w:rPr>
                <w:rFonts w:cs="Arial"/>
                <w:b/>
                <w:color w:val="333333"/>
                <w:sz w:val="20"/>
              </w:rPr>
              <w:t>% изм.</w:t>
            </w:r>
          </w:p>
        </w:tc>
      </w:tr>
      <w:tr w:rsidR="00187D71" w:rsidRPr="000275F6" w:rsidTr="00A60DB8">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первый</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right"/>
              <w:rPr>
                <w:rFonts w:cs="Arial"/>
                <w:color w:val="000000"/>
                <w:sz w:val="20"/>
              </w:rPr>
            </w:pPr>
            <w:r>
              <w:rPr>
                <w:rFonts w:cs="Arial"/>
                <w:color w:val="000000"/>
                <w:sz w:val="20"/>
              </w:rPr>
              <w:t>96 695</w:t>
            </w:r>
          </w:p>
        </w:tc>
        <w:tc>
          <w:tcPr>
            <w:tcW w:w="181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right"/>
              <w:rPr>
                <w:rFonts w:cs="Arial"/>
                <w:color w:val="000000"/>
                <w:sz w:val="20"/>
              </w:rPr>
            </w:pPr>
            <w:r>
              <w:rPr>
                <w:rFonts w:cs="Arial"/>
                <w:color w:val="000000"/>
                <w:sz w:val="20"/>
              </w:rPr>
              <w:t>94 901</w:t>
            </w:r>
          </w:p>
        </w:tc>
        <w:tc>
          <w:tcPr>
            <w:tcW w:w="1280" w:type="dxa"/>
            <w:tcBorders>
              <w:top w:val="nil"/>
              <w:left w:val="nil"/>
              <w:bottom w:val="single" w:sz="4" w:space="0" w:color="auto"/>
              <w:right w:val="single" w:sz="4" w:space="0" w:color="auto"/>
            </w:tcBorders>
            <w:shd w:val="clear" w:color="auto" w:fill="auto"/>
            <w:noWrap/>
            <w:vAlign w:val="bottom"/>
            <w:hideMark/>
          </w:tcPr>
          <w:p w:rsidR="00187D71" w:rsidRDefault="00187D71" w:rsidP="00A60DB8">
            <w:pPr>
              <w:jc w:val="center"/>
              <w:rPr>
                <w:rFonts w:cs="Arial"/>
                <w:color w:val="000000"/>
                <w:sz w:val="20"/>
              </w:rPr>
            </w:pPr>
            <w:r>
              <w:rPr>
                <w:rFonts w:cs="Arial"/>
                <w:color w:val="000000"/>
                <w:sz w:val="20"/>
              </w:rPr>
              <w:t>1,89%</w:t>
            </w:r>
          </w:p>
        </w:tc>
      </w:tr>
      <w:tr w:rsidR="00187D71" w:rsidRPr="000275F6" w:rsidTr="00A60DB8">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средний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right"/>
              <w:rPr>
                <w:rFonts w:cs="Arial"/>
                <w:color w:val="000000"/>
                <w:sz w:val="20"/>
              </w:rPr>
            </w:pPr>
            <w:r>
              <w:rPr>
                <w:rFonts w:cs="Arial"/>
                <w:color w:val="000000"/>
                <w:sz w:val="20"/>
              </w:rPr>
              <w:t>106 392</w:t>
            </w:r>
          </w:p>
        </w:tc>
        <w:tc>
          <w:tcPr>
            <w:tcW w:w="181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right"/>
              <w:rPr>
                <w:rFonts w:cs="Arial"/>
                <w:color w:val="000000"/>
                <w:sz w:val="20"/>
              </w:rPr>
            </w:pPr>
            <w:r>
              <w:rPr>
                <w:rFonts w:cs="Arial"/>
                <w:color w:val="000000"/>
                <w:sz w:val="20"/>
              </w:rPr>
              <w:t>104 898</w:t>
            </w:r>
          </w:p>
        </w:tc>
        <w:tc>
          <w:tcPr>
            <w:tcW w:w="1280" w:type="dxa"/>
            <w:tcBorders>
              <w:top w:val="nil"/>
              <w:left w:val="nil"/>
              <w:bottom w:val="single" w:sz="4" w:space="0" w:color="auto"/>
              <w:right w:val="single" w:sz="4" w:space="0" w:color="auto"/>
            </w:tcBorders>
            <w:shd w:val="clear" w:color="auto" w:fill="auto"/>
            <w:noWrap/>
            <w:vAlign w:val="bottom"/>
            <w:hideMark/>
          </w:tcPr>
          <w:p w:rsidR="00187D71" w:rsidRDefault="00187D71" w:rsidP="00A60DB8">
            <w:pPr>
              <w:jc w:val="center"/>
              <w:rPr>
                <w:rFonts w:cs="Arial"/>
                <w:color w:val="000000"/>
                <w:sz w:val="20"/>
              </w:rPr>
            </w:pPr>
            <w:r>
              <w:rPr>
                <w:rFonts w:cs="Arial"/>
                <w:color w:val="000000"/>
                <w:sz w:val="20"/>
              </w:rPr>
              <w:t>1,42%</w:t>
            </w:r>
          </w:p>
        </w:tc>
      </w:tr>
      <w:tr w:rsidR="00187D71" w:rsidRPr="000275F6" w:rsidTr="00A60DB8">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187D71" w:rsidRDefault="00187D71" w:rsidP="00A60DB8">
            <w:pPr>
              <w:rPr>
                <w:rFonts w:cs="Arial"/>
                <w:b/>
                <w:bCs/>
                <w:color w:val="000000"/>
                <w:sz w:val="20"/>
              </w:rPr>
            </w:pPr>
            <w:r>
              <w:rPr>
                <w:rFonts w:cs="Arial"/>
                <w:b/>
                <w:bCs/>
                <w:color w:val="000000"/>
                <w:sz w:val="20"/>
              </w:rPr>
              <w:t>последний</w:t>
            </w:r>
          </w:p>
        </w:tc>
        <w:tc>
          <w:tcPr>
            <w:tcW w:w="180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right"/>
              <w:rPr>
                <w:rFonts w:cs="Arial"/>
                <w:color w:val="000000"/>
                <w:sz w:val="20"/>
              </w:rPr>
            </w:pPr>
            <w:r>
              <w:rPr>
                <w:rFonts w:cs="Arial"/>
                <w:color w:val="000000"/>
                <w:sz w:val="20"/>
              </w:rPr>
              <w:t>101 514</w:t>
            </w:r>
          </w:p>
        </w:tc>
        <w:tc>
          <w:tcPr>
            <w:tcW w:w="1817" w:type="dxa"/>
            <w:tcBorders>
              <w:top w:val="nil"/>
              <w:left w:val="nil"/>
              <w:bottom w:val="single" w:sz="4" w:space="0" w:color="auto"/>
              <w:right w:val="single" w:sz="4" w:space="0" w:color="auto"/>
            </w:tcBorders>
            <w:shd w:val="clear" w:color="000000" w:fill="D8E4BC"/>
            <w:noWrap/>
            <w:vAlign w:val="center"/>
            <w:hideMark/>
          </w:tcPr>
          <w:p w:rsidR="00187D71" w:rsidRDefault="00187D71" w:rsidP="00A60DB8">
            <w:pPr>
              <w:jc w:val="right"/>
              <w:rPr>
                <w:rFonts w:cs="Arial"/>
                <w:color w:val="000000"/>
                <w:sz w:val="20"/>
              </w:rPr>
            </w:pPr>
            <w:r>
              <w:rPr>
                <w:rFonts w:cs="Arial"/>
                <w:color w:val="000000"/>
                <w:sz w:val="20"/>
              </w:rPr>
              <w:t>101 408</w:t>
            </w:r>
          </w:p>
        </w:tc>
        <w:tc>
          <w:tcPr>
            <w:tcW w:w="1280" w:type="dxa"/>
            <w:tcBorders>
              <w:top w:val="nil"/>
              <w:left w:val="nil"/>
              <w:bottom w:val="single" w:sz="4" w:space="0" w:color="auto"/>
              <w:right w:val="single" w:sz="4" w:space="0" w:color="auto"/>
            </w:tcBorders>
            <w:shd w:val="clear" w:color="auto" w:fill="auto"/>
            <w:noWrap/>
            <w:vAlign w:val="bottom"/>
            <w:hideMark/>
          </w:tcPr>
          <w:p w:rsidR="00187D71" w:rsidRDefault="00187D71" w:rsidP="00A60DB8">
            <w:pPr>
              <w:jc w:val="center"/>
              <w:rPr>
                <w:rFonts w:cs="Arial"/>
                <w:color w:val="000000"/>
                <w:sz w:val="20"/>
              </w:rPr>
            </w:pPr>
            <w:r>
              <w:rPr>
                <w:rFonts w:cs="Arial"/>
                <w:color w:val="000000"/>
                <w:sz w:val="20"/>
              </w:rPr>
              <w:t>0,10%</w:t>
            </w:r>
          </w:p>
        </w:tc>
      </w:tr>
    </w:tbl>
    <w:p w:rsidR="00187D71" w:rsidRDefault="00187D71" w:rsidP="00187D71">
      <w:pPr>
        <w:pStyle w:val="2"/>
        <w:rPr>
          <w:rFonts w:ascii="Arial" w:hAnsi="Arial" w:cs="Arial"/>
          <w:sz w:val="20"/>
          <w:szCs w:val="20"/>
        </w:rPr>
      </w:pPr>
      <w:bookmarkStart w:id="7" w:name="_Toc531533060"/>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7"/>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1210"/>
        <w:gridCol w:w="990"/>
        <w:gridCol w:w="1267"/>
        <w:gridCol w:w="1176"/>
        <w:gridCol w:w="1040"/>
        <w:gridCol w:w="1268"/>
        <w:gridCol w:w="986"/>
      </w:tblGrid>
      <w:tr w:rsidR="00187D71" w:rsidRPr="001742F0" w:rsidTr="00A60DB8">
        <w:trPr>
          <w:trHeight w:val="170"/>
        </w:trPr>
        <w:tc>
          <w:tcPr>
            <w:tcW w:w="1565" w:type="dxa"/>
            <w:shd w:val="clear" w:color="auto" w:fill="auto"/>
            <w:noWrap/>
            <w:vAlign w:val="bottom"/>
            <w:hideMark/>
          </w:tcPr>
          <w:p w:rsidR="00187D71" w:rsidRPr="001742F0" w:rsidRDefault="00187D71" w:rsidP="00A60DB8">
            <w:pPr>
              <w:rPr>
                <w:rFonts w:cs="Arial"/>
                <w:color w:val="000000"/>
                <w:sz w:val="18"/>
                <w:szCs w:val="18"/>
              </w:rPr>
            </w:pPr>
          </w:p>
        </w:tc>
        <w:tc>
          <w:tcPr>
            <w:tcW w:w="846" w:type="dxa"/>
            <w:shd w:val="clear" w:color="auto" w:fill="auto"/>
            <w:noWrap/>
            <w:vAlign w:val="bottom"/>
            <w:hideMark/>
          </w:tcPr>
          <w:p w:rsidR="00187D71" w:rsidRPr="001742F0" w:rsidRDefault="00187D71" w:rsidP="00A60DB8">
            <w:pPr>
              <w:rPr>
                <w:rFonts w:cs="Arial"/>
                <w:color w:val="000000"/>
                <w:sz w:val="18"/>
                <w:szCs w:val="18"/>
              </w:rPr>
            </w:pPr>
          </w:p>
        </w:tc>
        <w:tc>
          <w:tcPr>
            <w:tcW w:w="1210" w:type="dxa"/>
            <w:shd w:val="clear" w:color="000000" w:fill="D8E4BC"/>
            <w:noWrap/>
            <w:vAlign w:val="center"/>
            <w:hideMark/>
          </w:tcPr>
          <w:p w:rsidR="00187D71" w:rsidRPr="0082525C" w:rsidRDefault="00187D71" w:rsidP="00A60DB8">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Ноябрь</w:t>
            </w:r>
          </w:p>
        </w:tc>
        <w:tc>
          <w:tcPr>
            <w:tcW w:w="990" w:type="dxa"/>
            <w:shd w:val="clear" w:color="auto" w:fill="auto"/>
            <w:noWrap/>
            <w:vAlign w:val="center"/>
            <w:hideMark/>
          </w:tcPr>
          <w:p w:rsidR="00187D71" w:rsidRPr="001742F0" w:rsidRDefault="00187D71" w:rsidP="00A60DB8">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187D71" w:rsidRPr="001742F0" w:rsidRDefault="00187D71" w:rsidP="00A60DB8">
            <w:pPr>
              <w:jc w:val="center"/>
              <w:rPr>
                <w:rFonts w:cs="Arial"/>
                <w:color w:val="000000"/>
                <w:sz w:val="18"/>
                <w:szCs w:val="18"/>
              </w:rPr>
            </w:pPr>
          </w:p>
        </w:tc>
        <w:tc>
          <w:tcPr>
            <w:tcW w:w="1176" w:type="dxa"/>
            <w:shd w:val="clear" w:color="000000" w:fill="D8E4BC"/>
            <w:noWrap/>
            <w:vAlign w:val="center"/>
            <w:hideMark/>
          </w:tcPr>
          <w:p w:rsidR="00187D71" w:rsidRPr="0082525C" w:rsidRDefault="00187D71" w:rsidP="00A60DB8">
            <w:pPr>
              <w:spacing w:before="100" w:beforeAutospacing="1" w:after="100" w:afterAutospacing="1"/>
              <w:jc w:val="center"/>
              <w:rPr>
                <w:rFonts w:cs="Arial"/>
                <w:color w:val="333333"/>
                <w:sz w:val="20"/>
              </w:rPr>
            </w:pPr>
            <w:r w:rsidRPr="0082525C">
              <w:rPr>
                <w:rFonts w:cs="Arial"/>
                <w:b/>
                <w:bCs/>
                <w:color w:val="333333"/>
                <w:sz w:val="20"/>
              </w:rPr>
              <w:t xml:space="preserve">2018, </w:t>
            </w:r>
            <w:r>
              <w:rPr>
                <w:rFonts w:cs="Arial"/>
                <w:b/>
                <w:bCs/>
                <w:color w:val="333333"/>
                <w:sz w:val="20"/>
              </w:rPr>
              <w:t>Октябрь</w:t>
            </w:r>
          </w:p>
        </w:tc>
        <w:tc>
          <w:tcPr>
            <w:tcW w:w="1040" w:type="dxa"/>
            <w:shd w:val="clear" w:color="auto" w:fill="auto"/>
            <w:noWrap/>
            <w:vAlign w:val="bottom"/>
            <w:hideMark/>
          </w:tcPr>
          <w:p w:rsidR="00187D71" w:rsidRPr="001742F0" w:rsidRDefault="00187D71" w:rsidP="00A60DB8">
            <w:pPr>
              <w:rPr>
                <w:rFonts w:cs="Arial"/>
                <w:color w:val="000000"/>
                <w:sz w:val="18"/>
                <w:szCs w:val="18"/>
              </w:rPr>
            </w:pPr>
          </w:p>
        </w:tc>
        <w:tc>
          <w:tcPr>
            <w:tcW w:w="1268" w:type="dxa"/>
            <w:shd w:val="clear" w:color="auto" w:fill="auto"/>
            <w:noWrap/>
            <w:vAlign w:val="bottom"/>
            <w:hideMark/>
          </w:tcPr>
          <w:p w:rsidR="00187D71" w:rsidRPr="001742F0" w:rsidRDefault="00187D71" w:rsidP="00A60DB8">
            <w:pPr>
              <w:rPr>
                <w:rFonts w:cs="Arial"/>
                <w:color w:val="000000"/>
                <w:sz w:val="18"/>
                <w:szCs w:val="18"/>
              </w:rPr>
            </w:pPr>
          </w:p>
        </w:tc>
        <w:tc>
          <w:tcPr>
            <w:tcW w:w="986" w:type="dxa"/>
            <w:shd w:val="clear" w:color="auto" w:fill="auto"/>
            <w:noWrap/>
            <w:vAlign w:val="bottom"/>
            <w:hideMark/>
          </w:tcPr>
          <w:p w:rsidR="00187D71" w:rsidRPr="001742F0" w:rsidRDefault="00187D71" w:rsidP="00A60DB8">
            <w:pPr>
              <w:rPr>
                <w:rFonts w:cs="Arial"/>
                <w:color w:val="000000"/>
                <w:sz w:val="18"/>
                <w:szCs w:val="18"/>
              </w:rPr>
            </w:pPr>
          </w:p>
        </w:tc>
      </w:tr>
      <w:tr w:rsidR="00187D71" w:rsidRPr="001742F0" w:rsidTr="00A60DB8">
        <w:trPr>
          <w:trHeight w:val="170"/>
        </w:trPr>
        <w:tc>
          <w:tcPr>
            <w:tcW w:w="1565"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r w:rsidRPr="004306E1">
              <w:rPr>
                <w:rFonts w:cs="Arial"/>
                <w:b/>
                <w:bCs/>
                <w:color w:val="000000"/>
                <w:sz w:val="18"/>
                <w:szCs w:val="18"/>
              </w:rPr>
              <w:t>Мин</w:t>
            </w:r>
          </w:p>
        </w:tc>
        <w:tc>
          <w:tcPr>
            <w:tcW w:w="1210"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proofErr w:type="gramStart"/>
            <w:r w:rsidRPr="004306E1">
              <w:rPr>
                <w:rFonts w:cs="Arial"/>
                <w:b/>
                <w:bCs/>
                <w:color w:val="000000"/>
                <w:sz w:val="18"/>
                <w:szCs w:val="18"/>
              </w:rPr>
              <w:t>Полная</w:t>
            </w:r>
            <w:proofErr w:type="gramEnd"/>
            <w:r w:rsidRPr="004306E1">
              <w:rPr>
                <w:rFonts w:cs="Arial"/>
                <w:b/>
                <w:bCs/>
                <w:color w:val="000000"/>
                <w:sz w:val="18"/>
                <w:szCs w:val="18"/>
              </w:rPr>
              <w:t xml:space="preserve"> Руб.</w:t>
            </w:r>
          </w:p>
        </w:tc>
        <w:tc>
          <w:tcPr>
            <w:tcW w:w="1176" w:type="dxa"/>
            <w:shd w:val="clear" w:color="auto" w:fill="D6E3BC" w:themeFill="accent3" w:themeFillTint="66"/>
            <w:noWrap/>
            <w:vAlign w:val="center"/>
            <w:hideMark/>
          </w:tcPr>
          <w:p w:rsidR="00187D71" w:rsidRPr="004306E1" w:rsidRDefault="00187D71" w:rsidP="00A60DB8">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r w:rsidRPr="004306E1">
              <w:rPr>
                <w:rFonts w:cs="Arial"/>
                <w:b/>
                <w:bCs/>
                <w:color w:val="000000"/>
                <w:sz w:val="18"/>
                <w:szCs w:val="18"/>
              </w:rPr>
              <w:t>% изм.</w:t>
            </w:r>
          </w:p>
          <w:p w:rsidR="00187D71" w:rsidRPr="004306E1" w:rsidRDefault="00187D71" w:rsidP="00A60DB8">
            <w:pPr>
              <w:jc w:val="center"/>
              <w:rPr>
                <w:rFonts w:cs="Arial"/>
                <w:b/>
                <w:bCs/>
                <w:color w:val="000000"/>
                <w:sz w:val="18"/>
                <w:szCs w:val="18"/>
              </w:rPr>
            </w:pPr>
            <w:r w:rsidRPr="004306E1">
              <w:rPr>
                <w:rFonts w:cs="Arial"/>
                <w:b/>
                <w:bCs/>
                <w:color w:val="000000"/>
                <w:sz w:val="18"/>
                <w:szCs w:val="18"/>
              </w:rPr>
              <w:t>Средней.</w:t>
            </w:r>
          </w:p>
        </w:tc>
        <w:tc>
          <w:tcPr>
            <w:tcW w:w="1268" w:type="dxa"/>
            <w:shd w:val="clear" w:color="auto" w:fill="D6E3BC" w:themeFill="accent3" w:themeFillTint="66"/>
            <w:noWrap/>
            <w:vAlign w:val="center"/>
            <w:hideMark/>
          </w:tcPr>
          <w:p w:rsidR="00187D71" w:rsidRPr="004306E1" w:rsidRDefault="00187D71" w:rsidP="00A60DB8">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986" w:type="dxa"/>
            <w:shd w:val="clear" w:color="auto" w:fill="D6E3BC" w:themeFill="accent3" w:themeFillTint="66"/>
            <w:noWrap/>
            <w:vAlign w:val="center"/>
            <w:hideMark/>
          </w:tcPr>
          <w:p w:rsidR="00187D71" w:rsidRPr="004306E1" w:rsidRDefault="00187D71" w:rsidP="00A60DB8">
            <w:pPr>
              <w:jc w:val="center"/>
              <w:rPr>
                <w:rFonts w:cs="Arial"/>
                <w:b/>
                <w:bCs/>
                <w:color w:val="000000"/>
                <w:sz w:val="18"/>
                <w:szCs w:val="18"/>
              </w:rPr>
            </w:pPr>
            <w:r w:rsidRPr="004306E1">
              <w:rPr>
                <w:rFonts w:cs="Arial"/>
                <w:b/>
                <w:bCs/>
                <w:color w:val="000000"/>
                <w:sz w:val="18"/>
                <w:szCs w:val="18"/>
              </w:rPr>
              <w:t>% изм.</w:t>
            </w:r>
          </w:p>
          <w:p w:rsidR="00187D71" w:rsidRPr="004306E1" w:rsidRDefault="00187D71" w:rsidP="00A60DB8">
            <w:pPr>
              <w:jc w:val="center"/>
              <w:rPr>
                <w:rFonts w:cs="Arial"/>
                <w:b/>
                <w:bCs/>
                <w:color w:val="000000"/>
                <w:sz w:val="18"/>
                <w:szCs w:val="18"/>
              </w:rPr>
            </w:pPr>
            <w:r w:rsidRPr="004306E1">
              <w:rPr>
                <w:rFonts w:cs="Arial"/>
                <w:b/>
                <w:bCs/>
                <w:color w:val="000000"/>
                <w:sz w:val="18"/>
                <w:szCs w:val="18"/>
              </w:rPr>
              <w:t>Полной</w:t>
            </w:r>
          </w:p>
        </w:tc>
      </w:tr>
      <w:tr w:rsidR="00187D71" w:rsidRPr="001742F0" w:rsidTr="00A60DB8">
        <w:trPr>
          <w:trHeight w:val="170"/>
        </w:trPr>
        <w:tc>
          <w:tcPr>
            <w:tcW w:w="1565" w:type="dxa"/>
            <w:shd w:val="clear" w:color="auto" w:fill="auto"/>
            <w:noWrap/>
            <w:vAlign w:val="bottom"/>
            <w:hideMark/>
          </w:tcPr>
          <w:p w:rsidR="00187D71" w:rsidRDefault="00187D71" w:rsidP="00A60DB8">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27 907</w:t>
            </w:r>
          </w:p>
        </w:tc>
        <w:tc>
          <w:tcPr>
            <w:tcW w:w="1210" w:type="dxa"/>
            <w:shd w:val="clear" w:color="000000" w:fill="D8E4BC"/>
            <w:noWrap/>
            <w:vAlign w:val="center"/>
            <w:hideMark/>
          </w:tcPr>
          <w:p w:rsidR="00187D71" w:rsidRDefault="00187D71" w:rsidP="00A60DB8">
            <w:pPr>
              <w:jc w:val="center"/>
              <w:rPr>
                <w:rFonts w:cs="Arial"/>
                <w:color w:val="000000"/>
                <w:sz w:val="20"/>
              </w:rPr>
            </w:pPr>
            <w:r>
              <w:rPr>
                <w:rFonts w:cs="Arial"/>
                <w:color w:val="000000"/>
                <w:sz w:val="20"/>
              </w:rPr>
              <w:t>110 187</w:t>
            </w:r>
          </w:p>
        </w:tc>
        <w:tc>
          <w:tcPr>
            <w:tcW w:w="99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236 842</w:t>
            </w:r>
          </w:p>
        </w:tc>
        <w:tc>
          <w:tcPr>
            <w:tcW w:w="1267"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3 981 419</w:t>
            </w:r>
          </w:p>
        </w:tc>
        <w:tc>
          <w:tcPr>
            <w:tcW w:w="1176" w:type="dxa"/>
            <w:shd w:val="clear" w:color="000000" w:fill="D6E3BC"/>
            <w:noWrap/>
            <w:vAlign w:val="center"/>
            <w:hideMark/>
          </w:tcPr>
          <w:p w:rsidR="00187D71" w:rsidRDefault="00187D71" w:rsidP="00A60DB8">
            <w:pPr>
              <w:jc w:val="center"/>
              <w:rPr>
                <w:rFonts w:cs="Arial"/>
                <w:b/>
                <w:bCs/>
                <w:color w:val="333333"/>
                <w:sz w:val="20"/>
              </w:rPr>
            </w:pPr>
            <w:r>
              <w:rPr>
                <w:rFonts w:cs="Arial"/>
                <w:b/>
                <w:bCs/>
                <w:color w:val="333333"/>
                <w:sz w:val="20"/>
              </w:rPr>
              <w:t>107 820</w:t>
            </w:r>
          </w:p>
        </w:tc>
        <w:tc>
          <w:tcPr>
            <w:tcW w:w="104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2,19%</w:t>
            </w:r>
          </w:p>
        </w:tc>
        <w:tc>
          <w:tcPr>
            <w:tcW w:w="1268"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3 708 584</w:t>
            </w:r>
          </w:p>
        </w:tc>
        <w:tc>
          <w:tcPr>
            <w:tcW w:w="98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7,36%</w:t>
            </w:r>
          </w:p>
        </w:tc>
      </w:tr>
      <w:tr w:rsidR="00187D71" w:rsidRPr="001742F0" w:rsidTr="00A60DB8">
        <w:trPr>
          <w:trHeight w:val="170"/>
        </w:trPr>
        <w:tc>
          <w:tcPr>
            <w:tcW w:w="1565" w:type="dxa"/>
            <w:shd w:val="clear" w:color="auto" w:fill="auto"/>
            <w:noWrap/>
            <w:vAlign w:val="bottom"/>
            <w:hideMark/>
          </w:tcPr>
          <w:p w:rsidR="00187D71" w:rsidRDefault="00187D71" w:rsidP="00A60DB8">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28 113</w:t>
            </w:r>
          </w:p>
        </w:tc>
        <w:tc>
          <w:tcPr>
            <w:tcW w:w="1210" w:type="dxa"/>
            <w:shd w:val="clear" w:color="000000" w:fill="D8E4BC"/>
            <w:noWrap/>
            <w:vAlign w:val="center"/>
            <w:hideMark/>
          </w:tcPr>
          <w:p w:rsidR="00187D71" w:rsidRDefault="00187D71" w:rsidP="00A60DB8">
            <w:pPr>
              <w:jc w:val="center"/>
              <w:rPr>
                <w:rFonts w:cs="Arial"/>
                <w:color w:val="000000"/>
                <w:sz w:val="20"/>
              </w:rPr>
            </w:pPr>
            <w:r>
              <w:rPr>
                <w:rFonts w:cs="Arial"/>
                <w:color w:val="000000"/>
                <w:sz w:val="20"/>
              </w:rPr>
              <w:t>103 614</w:t>
            </w:r>
          </w:p>
        </w:tc>
        <w:tc>
          <w:tcPr>
            <w:tcW w:w="99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272 121</w:t>
            </w:r>
          </w:p>
        </w:tc>
        <w:tc>
          <w:tcPr>
            <w:tcW w:w="1267"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5 622 907</w:t>
            </w:r>
          </w:p>
        </w:tc>
        <w:tc>
          <w:tcPr>
            <w:tcW w:w="1176" w:type="dxa"/>
            <w:shd w:val="clear" w:color="000000" w:fill="D6E3BC"/>
            <w:noWrap/>
            <w:vAlign w:val="center"/>
            <w:hideMark/>
          </w:tcPr>
          <w:p w:rsidR="00187D71" w:rsidRDefault="00187D71" w:rsidP="00A60DB8">
            <w:pPr>
              <w:jc w:val="center"/>
              <w:rPr>
                <w:rFonts w:cs="Arial"/>
                <w:b/>
                <w:bCs/>
                <w:color w:val="333333"/>
                <w:sz w:val="20"/>
              </w:rPr>
            </w:pPr>
            <w:r>
              <w:rPr>
                <w:rFonts w:cs="Arial"/>
                <w:b/>
                <w:bCs/>
                <w:color w:val="333333"/>
                <w:sz w:val="20"/>
              </w:rPr>
              <w:t>103 275</w:t>
            </w:r>
          </w:p>
        </w:tc>
        <w:tc>
          <w:tcPr>
            <w:tcW w:w="104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0,33%</w:t>
            </w:r>
          </w:p>
        </w:tc>
        <w:tc>
          <w:tcPr>
            <w:tcW w:w="1268"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5 304 911</w:t>
            </w:r>
          </w:p>
        </w:tc>
        <w:tc>
          <w:tcPr>
            <w:tcW w:w="98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5,99%</w:t>
            </w:r>
          </w:p>
        </w:tc>
      </w:tr>
      <w:tr w:rsidR="00187D71" w:rsidRPr="001742F0" w:rsidTr="00A60DB8">
        <w:trPr>
          <w:trHeight w:val="170"/>
        </w:trPr>
        <w:tc>
          <w:tcPr>
            <w:tcW w:w="1565" w:type="dxa"/>
            <w:shd w:val="clear" w:color="auto" w:fill="auto"/>
            <w:noWrap/>
            <w:vAlign w:val="bottom"/>
            <w:hideMark/>
          </w:tcPr>
          <w:p w:rsidR="00187D71" w:rsidRDefault="00187D71" w:rsidP="00A60DB8">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27 000</w:t>
            </w:r>
          </w:p>
        </w:tc>
        <w:tc>
          <w:tcPr>
            <w:tcW w:w="1210" w:type="dxa"/>
            <w:shd w:val="clear" w:color="000000" w:fill="D8E4BC"/>
            <w:noWrap/>
            <w:vAlign w:val="center"/>
            <w:hideMark/>
          </w:tcPr>
          <w:p w:rsidR="00187D71" w:rsidRDefault="00187D71" w:rsidP="00A60DB8">
            <w:pPr>
              <w:jc w:val="center"/>
              <w:rPr>
                <w:rFonts w:cs="Arial"/>
                <w:color w:val="000000"/>
                <w:sz w:val="20"/>
              </w:rPr>
            </w:pPr>
            <w:r>
              <w:rPr>
                <w:rFonts w:cs="Arial"/>
                <w:color w:val="000000"/>
                <w:sz w:val="20"/>
              </w:rPr>
              <w:t>102 709</w:t>
            </w:r>
          </w:p>
        </w:tc>
        <w:tc>
          <w:tcPr>
            <w:tcW w:w="99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300 000</w:t>
            </w:r>
          </w:p>
        </w:tc>
        <w:tc>
          <w:tcPr>
            <w:tcW w:w="1267"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7 913 025</w:t>
            </w:r>
          </w:p>
        </w:tc>
        <w:tc>
          <w:tcPr>
            <w:tcW w:w="1176" w:type="dxa"/>
            <w:shd w:val="clear" w:color="000000" w:fill="D6E3BC"/>
            <w:noWrap/>
            <w:vAlign w:val="center"/>
            <w:hideMark/>
          </w:tcPr>
          <w:p w:rsidR="00187D71" w:rsidRDefault="00187D71" w:rsidP="00A60DB8">
            <w:pPr>
              <w:jc w:val="center"/>
              <w:rPr>
                <w:rFonts w:cs="Arial"/>
                <w:b/>
                <w:bCs/>
                <w:color w:val="333333"/>
                <w:sz w:val="20"/>
              </w:rPr>
            </w:pPr>
            <w:r>
              <w:rPr>
                <w:rFonts w:cs="Arial"/>
                <w:b/>
                <w:bCs/>
                <w:color w:val="333333"/>
                <w:sz w:val="20"/>
              </w:rPr>
              <w:t>100 899</w:t>
            </w:r>
          </w:p>
        </w:tc>
        <w:tc>
          <w:tcPr>
            <w:tcW w:w="104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1,79%</w:t>
            </w:r>
          </w:p>
        </w:tc>
        <w:tc>
          <w:tcPr>
            <w:tcW w:w="1268"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7 138 592</w:t>
            </w:r>
          </w:p>
        </w:tc>
        <w:tc>
          <w:tcPr>
            <w:tcW w:w="98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10,85%</w:t>
            </w:r>
          </w:p>
        </w:tc>
      </w:tr>
      <w:tr w:rsidR="00187D71" w:rsidRPr="001742F0" w:rsidTr="00A60DB8">
        <w:trPr>
          <w:trHeight w:val="170"/>
        </w:trPr>
        <w:tc>
          <w:tcPr>
            <w:tcW w:w="1565" w:type="dxa"/>
            <w:shd w:val="clear" w:color="auto" w:fill="auto"/>
            <w:noWrap/>
            <w:vAlign w:val="bottom"/>
            <w:hideMark/>
          </w:tcPr>
          <w:p w:rsidR="00187D71" w:rsidRDefault="00187D71" w:rsidP="00A60DB8">
            <w:pPr>
              <w:rPr>
                <w:rFonts w:cs="Arial"/>
                <w:b/>
                <w:bCs/>
                <w:color w:val="000000"/>
                <w:sz w:val="20"/>
              </w:rPr>
            </w:pPr>
            <w:r>
              <w:rPr>
                <w:rFonts w:cs="Arial"/>
                <w:b/>
                <w:bCs/>
                <w:color w:val="000000"/>
                <w:sz w:val="20"/>
              </w:rPr>
              <w:t>4-комнатная и более</w:t>
            </w:r>
          </w:p>
        </w:tc>
        <w:tc>
          <w:tcPr>
            <w:tcW w:w="84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36 667</w:t>
            </w:r>
          </w:p>
        </w:tc>
        <w:tc>
          <w:tcPr>
            <w:tcW w:w="1210" w:type="dxa"/>
            <w:shd w:val="clear" w:color="000000" w:fill="D8E4BC"/>
            <w:noWrap/>
            <w:vAlign w:val="center"/>
            <w:hideMark/>
          </w:tcPr>
          <w:p w:rsidR="00187D71" w:rsidRDefault="00187D71" w:rsidP="00A60DB8">
            <w:pPr>
              <w:jc w:val="center"/>
              <w:rPr>
                <w:rFonts w:cs="Arial"/>
                <w:color w:val="000000"/>
                <w:sz w:val="20"/>
              </w:rPr>
            </w:pPr>
            <w:r>
              <w:rPr>
                <w:rFonts w:cs="Arial"/>
                <w:color w:val="000000"/>
                <w:sz w:val="20"/>
              </w:rPr>
              <w:t>105 107</w:t>
            </w:r>
          </w:p>
        </w:tc>
        <w:tc>
          <w:tcPr>
            <w:tcW w:w="99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270 012</w:t>
            </w:r>
          </w:p>
        </w:tc>
        <w:tc>
          <w:tcPr>
            <w:tcW w:w="1267"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12 957 812</w:t>
            </w:r>
          </w:p>
        </w:tc>
        <w:tc>
          <w:tcPr>
            <w:tcW w:w="1176" w:type="dxa"/>
            <w:shd w:val="clear" w:color="000000" w:fill="D6E3BC"/>
            <w:noWrap/>
            <w:vAlign w:val="center"/>
            <w:hideMark/>
          </w:tcPr>
          <w:p w:rsidR="00187D71" w:rsidRDefault="00187D71" w:rsidP="00A60DB8">
            <w:pPr>
              <w:jc w:val="center"/>
              <w:rPr>
                <w:rFonts w:cs="Arial"/>
                <w:b/>
                <w:bCs/>
                <w:color w:val="333333"/>
                <w:sz w:val="20"/>
              </w:rPr>
            </w:pPr>
            <w:r>
              <w:rPr>
                <w:rFonts w:cs="Arial"/>
                <w:b/>
                <w:bCs/>
                <w:color w:val="333333"/>
                <w:sz w:val="20"/>
              </w:rPr>
              <w:t>104 496</w:t>
            </w:r>
          </w:p>
        </w:tc>
        <w:tc>
          <w:tcPr>
            <w:tcW w:w="104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0,58%</w:t>
            </w:r>
          </w:p>
        </w:tc>
        <w:tc>
          <w:tcPr>
            <w:tcW w:w="1268"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12 297 058</w:t>
            </w:r>
          </w:p>
        </w:tc>
        <w:tc>
          <w:tcPr>
            <w:tcW w:w="98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5,37%</w:t>
            </w:r>
          </w:p>
        </w:tc>
      </w:tr>
      <w:tr w:rsidR="00187D71" w:rsidRPr="001742F0" w:rsidTr="00A60DB8">
        <w:trPr>
          <w:trHeight w:val="170"/>
        </w:trPr>
        <w:tc>
          <w:tcPr>
            <w:tcW w:w="1565" w:type="dxa"/>
            <w:shd w:val="clear" w:color="auto" w:fill="auto"/>
            <w:noWrap/>
            <w:vAlign w:val="bottom"/>
            <w:hideMark/>
          </w:tcPr>
          <w:p w:rsidR="00187D71" w:rsidRDefault="00187D71" w:rsidP="00A60DB8">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36 364</w:t>
            </w:r>
          </w:p>
        </w:tc>
        <w:tc>
          <w:tcPr>
            <w:tcW w:w="1210" w:type="dxa"/>
            <w:shd w:val="clear" w:color="000000" w:fill="D8E4BC"/>
            <w:noWrap/>
            <w:vAlign w:val="center"/>
            <w:hideMark/>
          </w:tcPr>
          <w:p w:rsidR="00187D71" w:rsidRDefault="00187D71" w:rsidP="00A60DB8">
            <w:pPr>
              <w:jc w:val="center"/>
              <w:rPr>
                <w:rFonts w:cs="Arial"/>
                <w:color w:val="000000"/>
                <w:sz w:val="20"/>
              </w:rPr>
            </w:pPr>
            <w:r>
              <w:rPr>
                <w:rFonts w:cs="Arial"/>
                <w:color w:val="000000"/>
                <w:sz w:val="20"/>
              </w:rPr>
              <w:t>111 677</w:t>
            </w:r>
          </w:p>
        </w:tc>
        <w:tc>
          <w:tcPr>
            <w:tcW w:w="99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200 000</w:t>
            </w:r>
          </w:p>
        </w:tc>
        <w:tc>
          <w:tcPr>
            <w:tcW w:w="1267"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2 228 564</w:t>
            </w:r>
          </w:p>
        </w:tc>
        <w:tc>
          <w:tcPr>
            <w:tcW w:w="1176" w:type="dxa"/>
            <w:shd w:val="clear" w:color="000000" w:fill="D6E3BC"/>
            <w:noWrap/>
            <w:vAlign w:val="center"/>
            <w:hideMark/>
          </w:tcPr>
          <w:p w:rsidR="00187D71" w:rsidRDefault="00187D71" w:rsidP="00A60DB8">
            <w:pPr>
              <w:jc w:val="center"/>
              <w:rPr>
                <w:rFonts w:cs="Arial"/>
                <w:b/>
                <w:bCs/>
                <w:color w:val="333333"/>
                <w:sz w:val="20"/>
              </w:rPr>
            </w:pPr>
            <w:r>
              <w:rPr>
                <w:rFonts w:cs="Arial"/>
                <w:b/>
                <w:bCs/>
                <w:color w:val="333333"/>
                <w:sz w:val="20"/>
              </w:rPr>
              <w:t>110 314</w:t>
            </w:r>
          </w:p>
        </w:tc>
        <w:tc>
          <w:tcPr>
            <w:tcW w:w="104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1,24%</w:t>
            </w:r>
          </w:p>
        </w:tc>
        <w:tc>
          <w:tcPr>
            <w:tcW w:w="1268"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2 061 697</w:t>
            </w:r>
          </w:p>
        </w:tc>
        <w:tc>
          <w:tcPr>
            <w:tcW w:w="98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8,09%</w:t>
            </w:r>
          </w:p>
        </w:tc>
      </w:tr>
      <w:tr w:rsidR="00187D71" w:rsidRPr="001742F0" w:rsidTr="00A60DB8">
        <w:trPr>
          <w:trHeight w:val="170"/>
        </w:trPr>
        <w:tc>
          <w:tcPr>
            <w:tcW w:w="1565" w:type="dxa"/>
            <w:shd w:val="clear" w:color="auto" w:fill="auto"/>
            <w:noWrap/>
            <w:vAlign w:val="bottom"/>
            <w:hideMark/>
          </w:tcPr>
          <w:p w:rsidR="00187D71" w:rsidRDefault="00187D71" w:rsidP="00A60DB8">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27 778</w:t>
            </w:r>
          </w:p>
        </w:tc>
        <w:tc>
          <w:tcPr>
            <w:tcW w:w="1210" w:type="dxa"/>
            <w:shd w:val="clear" w:color="000000" w:fill="D8E4BC"/>
            <w:noWrap/>
            <w:vAlign w:val="center"/>
            <w:hideMark/>
          </w:tcPr>
          <w:p w:rsidR="00187D71" w:rsidRDefault="00187D71" w:rsidP="00A60DB8">
            <w:pPr>
              <w:jc w:val="center"/>
              <w:rPr>
                <w:rFonts w:cs="Arial"/>
                <w:color w:val="000000"/>
                <w:sz w:val="20"/>
              </w:rPr>
            </w:pPr>
            <w:r>
              <w:rPr>
                <w:rFonts w:cs="Arial"/>
                <w:color w:val="000000"/>
                <w:sz w:val="20"/>
              </w:rPr>
              <w:t>97 362</w:t>
            </w:r>
          </w:p>
        </w:tc>
        <w:tc>
          <w:tcPr>
            <w:tcW w:w="99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170 000</w:t>
            </w:r>
          </w:p>
        </w:tc>
        <w:tc>
          <w:tcPr>
            <w:tcW w:w="1267"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1 621 233</w:t>
            </w:r>
          </w:p>
        </w:tc>
        <w:tc>
          <w:tcPr>
            <w:tcW w:w="1176" w:type="dxa"/>
            <w:shd w:val="clear" w:color="000000" w:fill="D6E3BC"/>
            <w:noWrap/>
            <w:vAlign w:val="center"/>
            <w:hideMark/>
          </w:tcPr>
          <w:p w:rsidR="00187D71" w:rsidRDefault="00187D71" w:rsidP="00A60DB8">
            <w:pPr>
              <w:jc w:val="center"/>
              <w:rPr>
                <w:rFonts w:cs="Arial"/>
                <w:b/>
                <w:bCs/>
                <w:color w:val="333333"/>
                <w:sz w:val="20"/>
              </w:rPr>
            </w:pPr>
            <w:r>
              <w:rPr>
                <w:rFonts w:cs="Arial"/>
                <w:b/>
                <w:bCs/>
                <w:color w:val="333333"/>
                <w:sz w:val="20"/>
              </w:rPr>
              <w:t>98 750</w:t>
            </w:r>
          </w:p>
        </w:tc>
        <w:tc>
          <w:tcPr>
            <w:tcW w:w="1040"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-1,41%</w:t>
            </w:r>
          </w:p>
        </w:tc>
        <w:tc>
          <w:tcPr>
            <w:tcW w:w="1268"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1 530 645</w:t>
            </w:r>
          </w:p>
        </w:tc>
        <w:tc>
          <w:tcPr>
            <w:tcW w:w="986" w:type="dxa"/>
            <w:shd w:val="clear" w:color="auto" w:fill="auto"/>
            <w:noWrap/>
            <w:vAlign w:val="center"/>
            <w:hideMark/>
          </w:tcPr>
          <w:p w:rsidR="00187D71" w:rsidRDefault="00187D71" w:rsidP="00A60DB8">
            <w:pPr>
              <w:jc w:val="center"/>
              <w:rPr>
                <w:rFonts w:cs="Arial"/>
                <w:color w:val="000000"/>
                <w:sz w:val="20"/>
              </w:rPr>
            </w:pPr>
            <w:r>
              <w:rPr>
                <w:rFonts w:cs="Arial"/>
                <w:color w:val="000000"/>
                <w:sz w:val="20"/>
              </w:rPr>
              <w:t>5,92%</w:t>
            </w:r>
          </w:p>
        </w:tc>
      </w:tr>
    </w:tbl>
    <w:p w:rsidR="001F559A" w:rsidRDefault="001F559A" w:rsidP="001F559A">
      <w:pPr>
        <w:pStyle w:val="2"/>
        <w:rPr>
          <w:rFonts w:ascii="Arial" w:hAnsi="Arial" w:cs="Arial"/>
          <w:sz w:val="20"/>
          <w:szCs w:val="20"/>
          <w:lang w:val="en-US"/>
        </w:rPr>
      </w:pPr>
      <w:bookmarkStart w:id="8" w:name="_Toc531533061"/>
      <w:bookmarkEnd w:id="4"/>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8"/>
    </w:p>
    <w:tbl>
      <w:tblPr>
        <w:tblW w:w="3780" w:type="dxa"/>
        <w:tblInd w:w="-27" w:type="dxa"/>
        <w:tblLook w:val="04A0" w:firstRow="1" w:lastRow="0" w:firstColumn="1" w:lastColumn="0" w:noHBand="0" w:noVBand="1"/>
      </w:tblPr>
      <w:tblGrid>
        <w:gridCol w:w="2820"/>
        <w:gridCol w:w="960"/>
      </w:tblGrid>
      <w:tr w:rsidR="00187D71" w:rsidRPr="00187D71" w:rsidTr="00187D71">
        <w:trPr>
          <w:trHeight w:val="300"/>
        </w:trPr>
        <w:tc>
          <w:tcPr>
            <w:tcW w:w="28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139 142</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130 533</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124 317</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120 113</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109 949</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109 153</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Патрокл</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107 624</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Гайдамак</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106 848</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104 618</w:t>
            </w:r>
          </w:p>
        </w:tc>
      </w:tr>
      <w:tr w:rsidR="00187D71" w:rsidRPr="00187D71" w:rsidTr="00187D71">
        <w:trPr>
          <w:trHeight w:val="300"/>
        </w:trPr>
        <w:tc>
          <w:tcPr>
            <w:tcW w:w="2820" w:type="dxa"/>
            <w:tcBorders>
              <w:top w:val="nil"/>
              <w:left w:val="single" w:sz="4" w:space="0" w:color="auto"/>
              <w:bottom w:val="single" w:sz="4" w:space="0" w:color="auto"/>
              <w:right w:val="single" w:sz="4" w:space="0" w:color="auto"/>
            </w:tcBorders>
            <w:shd w:val="clear" w:color="000000" w:fill="D8E4BC"/>
            <w:noWrap/>
            <w:vAlign w:val="bottom"/>
            <w:hideMark/>
          </w:tcPr>
          <w:p w:rsidR="00187D71" w:rsidRPr="00187D71" w:rsidRDefault="00187D71" w:rsidP="00187D71">
            <w:pPr>
              <w:ind w:firstLineChars="100" w:firstLine="221"/>
              <w:rPr>
                <w:rFonts w:cs="Arial"/>
                <w:b/>
                <w:bCs/>
                <w:color w:val="000000"/>
                <w:sz w:val="22"/>
                <w:szCs w:val="22"/>
              </w:rPr>
            </w:pPr>
            <w:r w:rsidRPr="00187D71">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187D71" w:rsidRPr="00187D71" w:rsidRDefault="00187D71" w:rsidP="00187D71">
            <w:pPr>
              <w:jc w:val="center"/>
              <w:rPr>
                <w:rFonts w:cs="Arial"/>
                <w:b/>
                <w:bCs/>
                <w:color w:val="000000"/>
                <w:sz w:val="20"/>
              </w:rPr>
            </w:pPr>
            <w:r w:rsidRPr="00187D71">
              <w:rPr>
                <w:rFonts w:cs="Arial"/>
                <w:b/>
                <w:bCs/>
                <w:color w:val="000000"/>
                <w:sz w:val="20"/>
              </w:rPr>
              <w:t>103 172</w:t>
            </w:r>
          </w:p>
        </w:tc>
      </w:tr>
    </w:tbl>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531533062"/>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A60DB8" w:rsidP="00F32DD9">
      <w:pPr>
        <w:jc w:val="center"/>
        <w:rPr>
          <w:noProof/>
        </w:rPr>
      </w:pPr>
      <w:r>
        <w:rPr>
          <w:noProof/>
        </w:rPr>
        <w:drawing>
          <wp:inline distT="0" distB="0" distL="0" distR="0" wp14:anchorId="55BE16EE" wp14:editId="416EB9EA">
            <wp:extent cx="5308600" cy="2418080"/>
            <wp:effectExtent l="0" t="0" r="25400" b="203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531533063"/>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A60DB8" w:rsidP="00F32DD9">
      <w:pPr>
        <w:jc w:val="center"/>
        <w:rPr>
          <w:rFonts w:cs="Arial"/>
          <w:b/>
          <w:sz w:val="20"/>
        </w:rPr>
      </w:pPr>
      <w:r>
        <w:rPr>
          <w:noProof/>
        </w:rPr>
        <w:drawing>
          <wp:inline distT="0" distB="0" distL="0" distR="0" wp14:anchorId="1152D295" wp14:editId="19BB992B">
            <wp:extent cx="4485640" cy="1808480"/>
            <wp:effectExtent l="0" t="0" r="1016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531533064"/>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A60DB8" w:rsidP="008A782A">
      <w:pPr>
        <w:jc w:val="center"/>
        <w:rPr>
          <w:rFonts w:cs="Arial"/>
          <w:sz w:val="20"/>
        </w:rPr>
      </w:pPr>
      <w:r>
        <w:rPr>
          <w:noProof/>
        </w:rPr>
        <w:drawing>
          <wp:inline distT="0" distB="0" distL="0" distR="0" wp14:anchorId="64B4A07C" wp14:editId="6CFEDF34">
            <wp:extent cx="5273040" cy="2570480"/>
            <wp:effectExtent l="0" t="0" r="22860" b="203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531533065"/>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2"/>
    </w:p>
    <w:p w:rsidR="00DE106E" w:rsidRDefault="00A60DB8" w:rsidP="00F32DD9">
      <w:pPr>
        <w:rPr>
          <w:rFonts w:cs="Arial"/>
          <w:sz w:val="20"/>
        </w:rPr>
      </w:pPr>
      <w:r>
        <w:rPr>
          <w:noProof/>
        </w:rPr>
        <w:drawing>
          <wp:inline distT="0" distB="0" distL="0" distR="0" wp14:anchorId="0B5F4088" wp14:editId="7093EF36">
            <wp:extent cx="8832112" cy="4876800"/>
            <wp:effectExtent l="0" t="0" r="2667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1A6B" w:rsidRDefault="00531A6B"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Pr="00077B1D" w:rsidRDefault="00FF274F" w:rsidP="008A782A">
      <w:pPr>
        <w:pStyle w:val="2"/>
        <w:rPr>
          <w:rFonts w:ascii="Arial" w:hAnsi="Arial" w:cs="Arial"/>
          <w:sz w:val="20"/>
          <w:szCs w:val="20"/>
        </w:rPr>
      </w:pPr>
      <w:bookmarkStart w:id="13" w:name="_Toc531533066"/>
      <w:r>
        <w:rPr>
          <w:rFonts w:ascii="Arial" w:hAnsi="Arial" w:cs="Arial"/>
          <w:sz w:val="20"/>
          <w:szCs w:val="20"/>
        </w:rPr>
        <w:lastRenderedPageBreak/>
        <w:t>Таблица 6</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4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19"/>
        <w:gridCol w:w="1100"/>
        <w:gridCol w:w="885"/>
        <w:gridCol w:w="1097"/>
        <w:gridCol w:w="676"/>
        <w:gridCol w:w="1460"/>
        <w:gridCol w:w="1700"/>
        <w:gridCol w:w="1120"/>
        <w:gridCol w:w="1720"/>
        <w:gridCol w:w="1140"/>
      </w:tblGrid>
      <w:tr w:rsidR="00A60DB8" w:rsidRPr="00A60DB8" w:rsidTr="00A60DB8">
        <w:trPr>
          <w:trHeight w:val="170"/>
        </w:trPr>
        <w:tc>
          <w:tcPr>
            <w:tcW w:w="2740" w:type="dxa"/>
            <w:shd w:val="clear" w:color="auto" w:fill="auto"/>
            <w:noWrap/>
            <w:vAlign w:val="bottom"/>
            <w:hideMark/>
          </w:tcPr>
          <w:p w:rsidR="00A60DB8" w:rsidRPr="00A60DB8" w:rsidRDefault="00A60DB8" w:rsidP="00A60DB8">
            <w:pPr>
              <w:rPr>
                <w:rFonts w:cs="Arial"/>
                <w:color w:val="000000"/>
                <w:sz w:val="18"/>
                <w:szCs w:val="18"/>
              </w:rPr>
            </w:pPr>
          </w:p>
        </w:tc>
        <w:tc>
          <w:tcPr>
            <w:tcW w:w="819" w:type="dxa"/>
            <w:shd w:val="clear" w:color="auto" w:fill="auto"/>
            <w:noWrap/>
            <w:vAlign w:val="bottom"/>
            <w:hideMark/>
          </w:tcPr>
          <w:p w:rsidR="00A60DB8" w:rsidRPr="00A60DB8" w:rsidRDefault="00A60DB8" w:rsidP="00A60DB8">
            <w:pPr>
              <w:rPr>
                <w:rFonts w:cs="Arial"/>
                <w:color w:val="000000"/>
                <w:sz w:val="18"/>
                <w:szCs w:val="18"/>
              </w:rPr>
            </w:pPr>
          </w:p>
        </w:tc>
        <w:tc>
          <w:tcPr>
            <w:tcW w:w="1100" w:type="dxa"/>
            <w:shd w:val="clear" w:color="auto" w:fill="auto"/>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ноя.18</w:t>
            </w:r>
          </w:p>
        </w:tc>
        <w:tc>
          <w:tcPr>
            <w:tcW w:w="885" w:type="dxa"/>
            <w:shd w:val="clear" w:color="auto" w:fill="auto"/>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 </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 </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 </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 </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 </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 </w:t>
            </w:r>
          </w:p>
        </w:tc>
        <w:tc>
          <w:tcPr>
            <w:tcW w:w="1720" w:type="dxa"/>
            <w:shd w:val="clear" w:color="auto" w:fill="auto"/>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окт.18</w:t>
            </w:r>
          </w:p>
        </w:tc>
        <w:tc>
          <w:tcPr>
            <w:tcW w:w="1140" w:type="dxa"/>
            <w:shd w:val="clear" w:color="auto" w:fill="auto"/>
            <w:noWrap/>
            <w:vAlign w:val="bottom"/>
            <w:hideMark/>
          </w:tcPr>
          <w:p w:rsidR="00A60DB8" w:rsidRPr="00A60DB8" w:rsidRDefault="00A60DB8" w:rsidP="00A60DB8">
            <w:pPr>
              <w:rPr>
                <w:rFonts w:cs="Arial"/>
                <w:color w:val="000000"/>
                <w:sz w:val="18"/>
                <w:szCs w:val="18"/>
              </w:rPr>
            </w:pPr>
          </w:p>
        </w:tc>
      </w:tr>
      <w:tr w:rsidR="00A60DB8" w:rsidRPr="00A60DB8" w:rsidTr="00A60DB8">
        <w:trPr>
          <w:trHeight w:val="170"/>
        </w:trPr>
        <w:tc>
          <w:tcPr>
            <w:tcW w:w="274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Районы города</w:t>
            </w:r>
          </w:p>
        </w:tc>
        <w:tc>
          <w:tcPr>
            <w:tcW w:w="819"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Мин</w:t>
            </w:r>
          </w:p>
        </w:tc>
        <w:tc>
          <w:tcPr>
            <w:tcW w:w="1100" w:type="dxa"/>
            <w:shd w:val="clear" w:color="000000" w:fill="D8E4BC"/>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Средняя</w:t>
            </w:r>
            <w:r w:rsidRPr="00A60DB8">
              <w:rPr>
                <w:rFonts w:cs="Arial"/>
                <w:b/>
                <w:bCs/>
                <w:color w:val="000000"/>
                <w:sz w:val="18"/>
                <w:szCs w:val="18"/>
              </w:rPr>
              <w:br/>
              <w:t>руб./кв.м.</w:t>
            </w:r>
          </w:p>
        </w:tc>
        <w:tc>
          <w:tcPr>
            <w:tcW w:w="885"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Макс</w:t>
            </w:r>
          </w:p>
        </w:tc>
        <w:tc>
          <w:tcPr>
            <w:tcW w:w="1097" w:type="dxa"/>
            <w:shd w:val="clear" w:color="000000" w:fill="D8E4BC"/>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Площадь,</w:t>
            </w:r>
            <w:r w:rsidRPr="00A60DB8">
              <w:rPr>
                <w:rFonts w:cs="Arial"/>
                <w:b/>
                <w:bCs/>
                <w:color w:val="000000"/>
                <w:sz w:val="18"/>
                <w:szCs w:val="18"/>
              </w:rPr>
              <w:br/>
              <w:t>кв.м.</w:t>
            </w:r>
          </w:p>
        </w:tc>
        <w:tc>
          <w:tcPr>
            <w:tcW w:w="676"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Штук</w:t>
            </w:r>
          </w:p>
        </w:tc>
        <w:tc>
          <w:tcPr>
            <w:tcW w:w="1460" w:type="dxa"/>
            <w:shd w:val="clear" w:color="000000" w:fill="D8E4BC"/>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 xml:space="preserve">Объем предложения </w:t>
            </w:r>
          </w:p>
        </w:tc>
        <w:tc>
          <w:tcPr>
            <w:tcW w:w="1700" w:type="dxa"/>
            <w:shd w:val="clear" w:color="000000" w:fill="D8E4BC"/>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Объем предложения %</w:t>
            </w:r>
          </w:p>
        </w:tc>
        <w:tc>
          <w:tcPr>
            <w:tcW w:w="1120" w:type="dxa"/>
            <w:shd w:val="clear" w:color="000000" w:fill="D8E4BC"/>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Средняя полная цена, руб.</w:t>
            </w:r>
          </w:p>
        </w:tc>
        <w:tc>
          <w:tcPr>
            <w:tcW w:w="1720" w:type="dxa"/>
            <w:shd w:val="clear" w:color="000000" w:fill="D8E4BC"/>
            <w:vAlign w:val="center"/>
            <w:hideMark/>
          </w:tcPr>
          <w:p w:rsidR="00A60DB8" w:rsidRPr="00A60DB8" w:rsidRDefault="00A60DB8" w:rsidP="00A60DB8">
            <w:pPr>
              <w:jc w:val="center"/>
              <w:rPr>
                <w:rFonts w:cs="Arial"/>
                <w:b/>
                <w:color w:val="000000"/>
                <w:sz w:val="18"/>
                <w:szCs w:val="18"/>
              </w:rPr>
            </w:pPr>
            <w:r w:rsidRPr="00A60DB8">
              <w:rPr>
                <w:rFonts w:cs="Arial"/>
                <w:b/>
                <w:color w:val="000000"/>
                <w:sz w:val="18"/>
                <w:szCs w:val="18"/>
              </w:rPr>
              <w:t>Средняя</w:t>
            </w:r>
            <w:r w:rsidRPr="00A60DB8">
              <w:rPr>
                <w:rFonts w:cs="Arial"/>
                <w:b/>
                <w:color w:val="000000"/>
                <w:sz w:val="18"/>
                <w:szCs w:val="18"/>
              </w:rPr>
              <w:br/>
              <w:t>руб./кв.м.</w:t>
            </w:r>
          </w:p>
        </w:tc>
        <w:tc>
          <w:tcPr>
            <w:tcW w:w="114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 изм</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64, 71 микрорайоны</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38 333</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93 254</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170 000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18 743</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335</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1 690 826 617</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6,54%</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5 047 244</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91 552</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1,86%</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Баляева</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59 722</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100 219</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160 000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7 513</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193</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707 206 999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2,73%</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3 664 285</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96 193</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4,18%</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БАМ</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78 571</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103 172</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147 059</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7 124</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133</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720 950 999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2,79%</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5 420 684</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100 886</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2,27%</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Борисенко</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57 927</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92 848</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139 024</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8 498</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201</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771 894 494</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2,98%</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3 840 271</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92 133</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0,78%</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Вторая речка</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49 020</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104 618</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187 500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23 803</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457</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2 437 550 730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9,43%</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5 333 809</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103 589</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0,99%</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Гайдамак</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65 789</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106 848</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171 951</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3 024</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49</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320 668 000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1,24%</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6 544 245</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106 367</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0,45%</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Заря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50 368</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94 521</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174 359</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2 682</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44</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224 721 090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0,87%</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5 107 298</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92 827</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1,83%</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Луговая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54 348</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96 978</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162 308</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8 301</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134</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777 701 999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3,01%</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5 803 746</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99 300</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-2,34%</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Некрасовская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54 167</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124 317</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229 167</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10 485</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173</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1 297 719 999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5,02%</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7 501 272</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125 454</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-0,91%</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о. Русский</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31 429</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62 993</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87 500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2 108</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44</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133 584 999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0,52%</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3 036 023</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63 308</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-0,50%</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Океанская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27 000</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91 856</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190 476</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6 752</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96</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672 991 150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2,60%</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6 938 053</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86 763</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5,87%</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Патрокл</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75 274</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107 624</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162 564</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1 061</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114 570 120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0,44%</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7 160 633</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109 402</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-1,63%</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Первая речка</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62 188</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130 533</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213 992</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12 234</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184</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1 649 418 007</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6,38%</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8 964 228</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126 022</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3,58%</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Пригород</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29 310</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72 869</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118 519</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1 915</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38</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135 910 000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0,53%</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3 576 579</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75 141</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-3,02%</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Садгород</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36 765</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86 466</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166 250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3 205</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52</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287 786 000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1,11%</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5 534 346</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88 312</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-2,09%</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Седанка</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36 667</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103 146</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178 261</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6 266</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88</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626 690 199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2,42%</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7 121 480</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101 118</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2,00%</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Снеговая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50 000</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85 582</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152 273</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1 860</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42</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150 980 000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0,58%</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3 594 762</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88 646</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-3,46%</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Снеговая падь</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56 420</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96 885</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156 579</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4 457</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82</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427 723 455</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1,65%</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5 216 140</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90 616</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6,92%</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Столетие</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66 667</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109 153</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198 276</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12 523</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250</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1 355 391 760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5,24%</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5 421 567</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107 629</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1,42%</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Тихая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61 364</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96 748</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161 905</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5 356</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127</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499 578 999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1,93%</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3 933 693</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95 648</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1,15%</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Толстого (Буссе)</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59 524</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100 878</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121 111</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3 882</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30</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465 729 000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1,80%</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6 951 179</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102 205</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-1,30%</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Третья рабочая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70 968</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109 949</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185 897</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11 833</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199</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1 289 074 454</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4,98%</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6 477 761</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109 580</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0,34%</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Трудовая</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50 000</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91 715</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118 750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2 720</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59</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239 670 000</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0,93%</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4 062 203</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91 194</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0,57%</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Трудовое</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46 552</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80 352</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109 375</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4 220</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97</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330 448 998</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1,28%</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3 406 691</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80 324</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0,03%</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Фадеева</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28 113</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93 454</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150 000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982</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29</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83 319 999</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0,32%</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2 873 103</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89 593</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4,31%</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Центр</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38 194</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139 142</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300 000</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29 051</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357</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4 257 202 373</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16,46%</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11 825 562</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135 585</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2,62%</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Чуркин</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27 778</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96 713</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157 143</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22 969</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453</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2 155 184 807</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8,33%</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4 757 582</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96 106</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0,63%</w:t>
            </w:r>
          </w:p>
        </w:tc>
      </w:tr>
      <w:tr w:rsidR="00A60DB8" w:rsidRPr="00A60DB8" w:rsidTr="00A60DB8">
        <w:trPr>
          <w:trHeight w:val="170"/>
        </w:trPr>
        <w:tc>
          <w:tcPr>
            <w:tcW w:w="2740" w:type="dxa"/>
            <w:shd w:val="clear" w:color="000000" w:fill="D8E4BC"/>
            <w:noWrap/>
            <w:vAlign w:val="bottom"/>
            <w:hideMark/>
          </w:tcPr>
          <w:p w:rsidR="00A60DB8" w:rsidRPr="00A60DB8" w:rsidRDefault="00A60DB8" w:rsidP="00A60DB8">
            <w:pPr>
              <w:ind w:firstLineChars="100" w:firstLine="181"/>
              <w:rPr>
                <w:rFonts w:cs="Arial"/>
                <w:b/>
                <w:bCs/>
                <w:color w:val="000000"/>
                <w:sz w:val="18"/>
                <w:szCs w:val="18"/>
              </w:rPr>
            </w:pPr>
            <w:r w:rsidRPr="00A60DB8">
              <w:rPr>
                <w:rFonts w:cs="Arial"/>
                <w:b/>
                <w:bCs/>
                <w:color w:val="000000"/>
                <w:sz w:val="18"/>
                <w:szCs w:val="18"/>
              </w:rPr>
              <w:t>Эгершельд</w:t>
            </w:r>
          </w:p>
        </w:tc>
        <w:tc>
          <w:tcPr>
            <w:tcW w:w="819"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53 191</w:t>
            </w:r>
          </w:p>
        </w:tc>
        <w:tc>
          <w:tcPr>
            <w:tcW w:w="110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120 113</w:t>
            </w:r>
          </w:p>
        </w:tc>
        <w:tc>
          <w:tcPr>
            <w:tcW w:w="885"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272 121</w:t>
            </w:r>
          </w:p>
        </w:tc>
        <w:tc>
          <w:tcPr>
            <w:tcW w:w="1097"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16 059</w:t>
            </w:r>
          </w:p>
        </w:tc>
        <w:tc>
          <w:tcPr>
            <w:tcW w:w="676"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231</w:t>
            </w:r>
          </w:p>
        </w:tc>
        <w:tc>
          <w:tcPr>
            <w:tcW w:w="146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2 036 053 608</w:t>
            </w:r>
          </w:p>
        </w:tc>
        <w:tc>
          <w:tcPr>
            <w:tcW w:w="170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7,87%</w:t>
            </w:r>
          </w:p>
        </w:tc>
        <w:tc>
          <w:tcPr>
            <w:tcW w:w="1120" w:type="dxa"/>
            <w:shd w:val="clear" w:color="auto" w:fill="auto"/>
            <w:noWrap/>
            <w:vAlign w:val="center"/>
            <w:hideMark/>
          </w:tcPr>
          <w:p w:rsidR="00A60DB8" w:rsidRPr="00A60DB8" w:rsidRDefault="00A60DB8" w:rsidP="00A60DB8">
            <w:pPr>
              <w:jc w:val="center"/>
              <w:rPr>
                <w:rFonts w:cs="Arial"/>
                <w:color w:val="000000"/>
                <w:sz w:val="18"/>
                <w:szCs w:val="18"/>
              </w:rPr>
            </w:pPr>
            <w:r w:rsidRPr="00A60DB8">
              <w:rPr>
                <w:rFonts w:cs="Arial"/>
                <w:color w:val="000000"/>
                <w:sz w:val="18"/>
                <w:szCs w:val="18"/>
              </w:rPr>
              <w:t>8 814 085</w:t>
            </w:r>
          </w:p>
        </w:tc>
        <w:tc>
          <w:tcPr>
            <w:tcW w:w="1720" w:type="dxa"/>
            <w:shd w:val="clear" w:color="000000" w:fill="D8E4BC"/>
            <w:noWrap/>
            <w:vAlign w:val="center"/>
            <w:hideMark/>
          </w:tcPr>
          <w:p w:rsidR="00A60DB8" w:rsidRPr="00A60DB8" w:rsidRDefault="00A60DB8" w:rsidP="00A60DB8">
            <w:pPr>
              <w:jc w:val="center"/>
              <w:rPr>
                <w:rFonts w:cs="Arial"/>
                <w:b/>
                <w:bCs/>
                <w:color w:val="000000"/>
                <w:sz w:val="18"/>
                <w:szCs w:val="18"/>
              </w:rPr>
            </w:pPr>
            <w:r w:rsidRPr="00A60DB8">
              <w:rPr>
                <w:rFonts w:cs="Arial"/>
                <w:b/>
                <w:bCs/>
                <w:color w:val="000000"/>
                <w:sz w:val="18"/>
                <w:szCs w:val="18"/>
              </w:rPr>
              <w:t>118 755</w:t>
            </w:r>
          </w:p>
        </w:tc>
        <w:tc>
          <w:tcPr>
            <w:tcW w:w="1140" w:type="dxa"/>
            <w:shd w:val="clear" w:color="auto" w:fill="auto"/>
            <w:noWrap/>
            <w:vAlign w:val="bottom"/>
            <w:hideMark/>
          </w:tcPr>
          <w:p w:rsidR="00A60DB8" w:rsidRPr="00A60DB8" w:rsidRDefault="00A60DB8" w:rsidP="00A60DB8">
            <w:pPr>
              <w:jc w:val="right"/>
              <w:rPr>
                <w:rFonts w:cs="Arial"/>
                <w:color w:val="000000"/>
                <w:sz w:val="18"/>
                <w:szCs w:val="18"/>
              </w:rPr>
            </w:pPr>
            <w:r w:rsidRPr="00A60DB8">
              <w:rPr>
                <w:rFonts w:cs="Arial"/>
                <w:color w:val="000000"/>
                <w:sz w:val="18"/>
                <w:szCs w:val="18"/>
              </w:rPr>
              <w:t>1,14%</w:t>
            </w:r>
          </w:p>
        </w:tc>
      </w:tr>
    </w:tbl>
    <w:p w:rsidR="00FF274F" w:rsidRDefault="00FF274F" w:rsidP="00DE106E"/>
    <w:p w:rsidR="00FF274F" w:rsidRDefault="00FF274F" w:rsidP="00DE106E">
      <w:r>
        <w:br w:type="page"/>
      </w:r>
    </w:p>
    <w:p w:rsidR="00FF274F" w:rsidRDefault="00FF274F" w:rsidP="00FF274F">
      <w:pPr>
        <w:pStyle w:val="2"/>
        <w:rPr>
          <w:rFonts w:ascii="Arial" w:hAnsi="Arial" w:cs="Arial"/>
          <w:sz w:val="20"/>
          <w:szCs w:val="20"/>
        </w:rPr>
      </w:pPr>
      <w:bookmarkStart w:id="14" w:name="_Toc531533067"/>
      <w:r>
        <w:rPr>
          <w:rFonts w:ascii="Arial" w:hAnsi="Arial" w:cs="Arial"/>
          <w:sz w:val="20"/>
          <w:szCs w:val="20"/>
        </w:rPr>
        <w:lastRenderedPageBreak/>
        <w:t>Таблица 7</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Средняя удельная цена предложения 1 кв. м. по районам </w:t>
      </w:r>
      <w:r>
        <w:rPr>
          <w:rFonts w:ascii="Arial" w:hAnsi="Arial" w:cs="Arial"/>
          <w:sz w:val="20"/>
          <w:szCs w:val="20"/>
        </w:rPr>
        <w:t xml:space="preserve"> и типам квартир, </w:t>
      </w:r>
      <w:r w:rsidRPr="008A782A">
        <w:rPr>
          <w:rFonts w:ascii="Arial" w:hAnsi="Arial" w:cs="Arial"/>
          <w:sz w:val="20"/>
          <w:szCs w:val="20"/>
        </w:rPr>
        <w:t>г. Владивостока</w:t>
      </w:r>
      <w:bookmarkEnd w:id="14"/>
    </w:p>
    <w:tbl>
      <w:tblPr>
        <w:tblW w:w="15000" w:type="dxa"/>
        <w:tblLayout w:type="fixed"/>
        <w:tblLook w:val="04A0" w:firstRow="1" w:lastRow="0" w:firstColumn="1" w:lastColumn="0" w:noHBand="0" w:noVBand="1"/>
      </w:tblPr>
      <w:tblGrid>
        <w:gridCol w:w="1668"/>
        <w:gridCol w:w="851"/>
        <w:gridCol w:w="850"/>
        <w:gridCol w:w="743"/>
        <w:gridCol w:w="662"/>
        <w:gridCol w:w="742"/>
        <w:gridCol w:w="742"/>
        <w:gridCol w:w="661"/>
        <w:gridCol w:w="742"/>
        <w:gridCol w:w="742"/>
        <w:gridCol w:w="661"/>
        <w:gridCol w:w="742"/>
        <w:gridCol w:w="742"/>
        <w:gridCol w:w="742"/>
        <w:gridCol w:w="742"/>
        <w:gridCol w:w="742"/>
        <w:gridCol w:w="742"/>
        <w:gridCol w:w="742"/>
        <w:gridCol w:w="742"/>
      </w:tblGrid>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 </w:t>
            </w:r>
          </w:p>
        </w:tc>
        <w:tc>
          <w:tcPr>
            <w:tcW w:w="2444"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1-комнатная</w:t>
            </w:r>
          </w:p>
        </w:tc>
        <w:tc>
          <w:tcPr>
            <w:tcW w:w="214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2-комнатная</w:t>
            </w:r>
          </w:p>
        </w:tc>
        <w:tc>
          <w:tcPr>
            <w:tcW w:w="2145"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3-комнатная </w:t>
            </w:r>
          </w:p>
        </w:tc>
        <w:tc>
          <w:tcPr>
            <w:tcW w:w="2145"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4-комнатная и более </w:t>
            </w:r>
          </w:p>
        </w:tc>
        <w:tc>
          <w:tcPr>
            <w:tcW w:w="222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Гостинка</w:t>
            </w:r>
          </w:p>
        </w:tc>
        <w:tc>
          <w:tcPr>
            <w:tcW w:w="2226" w:type="dxa"/>
            <w:gridSpan w:val="3"/>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Комната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Район</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Мин</w:t>
            </w:r>
          </w:p>
        </w:tc>
        <w:tc>
          <w:tcPr>
            <w:tcW w:w="85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Ср</w:t>
            </w:r>
          </w:p>
        </w:tc>
        <w:tc>
          <w:tcPr>
            <w:tcW w:w="743"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Макс</w:t>
            </w:r>
          </w:p>
        </w:tc>
        <w:tc>
          <w:tcPr>
            <w:tcW w:w="66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Мин</w:t>
            </w:r>
          </w:p>
        </w:tc>
        <w:tc>
          <w:tcPr>
            <w:tcW w:w="74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Ср</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Макс</w:t>
            </w:r>
          </w:p>
        </w:tc>
        <w:tc>
          <w:tcPr>
            <w:tcW w:w="66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Мин</w:t>
            </w:r>
          </w:p>
        </w:tc>
        <w:tc>
          <w:tcPr>
            <w:tcW w:w="74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Ср</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Макс</w:t>
            </w:r>
          </w:p>
        </w:tc>
        <w:tc>
          <w:tcPr>
            <w:tcW w:w="66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Мин</w:t>
            </w:r>
          </w:p>
        </w:tc>
        <w:tc>
          <w:tcPr>
            <w:tcW w:w="74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Ср</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Макс</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Мин</w:t>
            </w:r>
          </w:p>
        </w:tc>
        <w:tc>
          <w:tcPr>
            <w:tcW w:w="74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Ср</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Макс</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Мин</w:t>
            </w:r>
          </w:p>
        </w:tc>
        <w:tc>
          <w:tcPr>
            <w:tcW w:w="742"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Ср</w:t>
            </w:r>
          </w:p>
        </w:tc>
        <w:tc>
          <w:tcPr>
            <w:tcW w:w="742"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A60DB8" w:rsidRPr="00DF33B4" w:rsidRDefault="00A60DB8" w:rsidP="00A60DB8">
            <w:pPr>
              <w:jc w:val="center"/>
              <w:rPr>
                <w:rFonts w:cs="Arial"/>
                <w:b/>
                <w:bCs/>
                <w:color w:val="000000"/>
                <w:sz w:val="14"/>
                <w:szCs w:val="14"/>
              </w:rPr>
            </w:pPr>
            <w:r w:rsidRPr="00DF33B4">
              <w:rPr>
                <w:rFonts w:cs="Arial"/>
                <w:b/>
                <w:bCs/>
                <w:color w:val="000000"/>
                <w:sz w:val="14"/>
                <w:szCs w:val="14"/>
              </w:rPr>
              <w:t>Макс</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Эгершельд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53 191</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116 650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161 818</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59 524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121 367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272 121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75 000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123 944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262 105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64 950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123 641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215 584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58 750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115 278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150 000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81 250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99 163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117 857</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Центр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94 318</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147 032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236 842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70 455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133 884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236 842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38 194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139 632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333 333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67 996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145 964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270 012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150 000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173 810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200 000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93 333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123 527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170 000</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Первая речка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62 188</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133 302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213 158</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88 636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124 011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168 889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76 667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133 622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213 992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63 483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129 442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210 811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138 235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157 451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176 667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102 174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109 420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116 667</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Третья рабочая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80 612</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117 136</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158 000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87 353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112 356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146 296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70 968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106 539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185 897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71 875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98 082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150 685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87 500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114 856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173 810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74 706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91 013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108 333</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Столетие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88 889</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118 465</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152 500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66 667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104 422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198 276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73 438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101 608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168 571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75 472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108 337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169 091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68 571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119 954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166 667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69 565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106 848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159 091</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Некрасовская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109 375</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138 676</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193 750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54 167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125 562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229 167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77 193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120 964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193 333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79 333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104 563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152 448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105 714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128 371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152 941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94 444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105 692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138 235</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БАМ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98 611</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111 914</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135 135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81 373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101 843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137 500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78 571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96 537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138 983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81 522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99 007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124 444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106 897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123 245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147 059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Седанка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70 588</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117 539</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145 946</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65 361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100 866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178 261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42 574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100 625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163 636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36 667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94 749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128 205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121 429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121 429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121 429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A60DB8" w:rsidRPr="00BB2AF3" w:rsidRDefault="00A60DB8" w:rsidP="00A60DB8">
            <w:pPr>
              <w:rPr>
                <w:rFonts w:cs="Arial"/>
                <w:b/>
                <w:bCs/>
                <w:color w:val="000000"/>
                <w:sz w:val="14"/>
                <w:szCs w:val="14"/>
              </w:rPr>
            </w:pPr>
            <w:r w:rsidRPr="00BB2AF3">
              <w:rPr>
                <w:rFonts w:cs="Arial"/>
                <w:b/>
                <w:bCs/>
                <w:color w:val="000000"/>
                <w:sz w:val="14"/>
                <w:szCs w:val="14"/>
              </w:rPr>
              <w:t>Толстого (Буссе)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77 273</w:t>
            </w:r>
          </w:p>
        </w:tc>
        <w:tc>
          <w:tcPr>
            <w:tcW w:w="850" w:type="dxa"/>
            <w:tcBorders>
              <w:top w:val="single" w:sz="4" w:space="0" w:color="auto"/>
              <w:left w:val="nil"/>
              <w:bottom w:val="single" w:sz="4" w:space="0" w:color="auto"/>
              <w:right w:val="single" w:sz="4" w:space="0" w:color="auto"/>
            </w:tcBorders>
            <w:shd w:val="clear" w:color="000000" w:fill="9BBB59"/>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101 816</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120 833</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96 739</w:t>
            </w:r>
          </w:p>
        </w:tc>
        <w:tc>
          <w:tcPr>
            <w:tcW w:w="742" w:type="dxa"/>
            <w:tcBorders>
              <w:top w:val="single" w:sz="4" w:space="0" w:color="auto"/>
              <w:left w:val="nil"/>
              <w:bottom w:val="single" w:sz="4" w:space="0" w:color="auto"/>
              <w:right w:val="single" w:sz="4" w:space="0" w:color="auto"/>
            </w:tcBorders>
            <w:shd w:val="clear" w:color="000000" w:fill="9BBB59"/>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110 614</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121 111</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59 524</w:t>
            </w:r>
          </w:p>
        </w:tc>
        <w:tc>
          <w:tcPr>
            <w:tcW w:w="742" w:type="dxa"/>
            <w:tcBorders>
              <w:top w:val="single" w:sz="4" w:space="0" w:color="auto"/>
              <w:left w:val="nil"/>
              <w:bottom w:val="single" w:sz="4" w:space="0" w:color="auto"/>
              <w:right w:val="single" w:sz="4" w:space="0" w:color="auto"/>
            </w:tcBorders>
            <w:shd w:val="clear" w:color="000000" w:fill="9BBB59"/>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98 086</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110 833</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99 878</w:t>
            </w:r>
          </w:p>
        </w:tc>
        <w:tc>
          <w:tcPr>
            <w:tcW w:w="742" w:type="dxa"/>
            <w:tcBorders>
              <w:top w:val="single" w:sz="4" w:space="0" w:color="auto"/>
              <w:left w:val="nil"/>
              <w:bottom w:val="single" w:sz="4" w:space="0" w:color="auto"/>
              <w:right w:val="single" w:sz="4" w:space="0" w:color="auto"/>
            </w:tcBorders>
            <w:shd w:val="clear" w:color="000000" w:fill="9BBB59"/>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99 878</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99 878</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82 500</w:t>
            </w:r>
          </w:p>
        </w:tc>
        <w:tc>
          <w:tcPr>
            <w:tcW w:w="742" w:type="dxa"/>
            <w:tcBorders>
              <w:top w:val="single" w:sz="4" w:space="0" w:color="auto"/>
              <w:left w:val="nil"/>
              <w:bottom w:val="single" w:sz="4" w:space="0" w:color="auto"/>
              <w:right w:val="single" w:sz="4" w:space="0" w:color="auto"/>
            </w:tcBorders>
            <w:shd w:val="clear" w:color="000000" w:fill="9BBB59"/>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82 500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60DB8" w:rsidRPr="00BB2AF3" w:rsidRDefault="00A60DB8" w:rsidP="00A60DB8">
            <w:pPr>
              <w:jc w:val="center"/>
              <w:rPr>
                <w:rFonts w:cs="Arial"/>
                <w:color w:val="000000"/>
                <w:sz w:val="14"/>
                <w:szCs w:val="14"/>
              </w:rPr>
            </w:pPr>
            <w:r w:rsidRPr="00BB2AF3">
              <w:rPr>
                <w:rFonts w:cs="Arial"/>
                <w:color w:val="000000"/>
                <w:sz w:val="14"/>
                <w:szCs w:val="14"/>
              </w:rPr>
              <w:t>82 500</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Океанская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27 907</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94 472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181 481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52 188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96 823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190 476</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27 000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86 405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142 857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54 028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115 095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184 546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47 619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88 238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102 941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109 091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109 091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109 091</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Вторая речка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50 000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111 795</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187 500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49 020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103 153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169 048</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50 463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97 317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151 031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66 346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98 314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134 615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91 667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121 247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178 571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73 684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98 137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116 667</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Луговая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58 163</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96 699</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118 182</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66 667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103 104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162 308</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61 111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90 160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151 515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54 348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76 142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92 169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129 412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136 352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142 143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88 235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90 546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92 857</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Фадеева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92 813</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110 048</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145 455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28 113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73 705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109 524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88 372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88 698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89 024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60 345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66 978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73 611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93 478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110 804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150 000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89 286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99 270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120 000</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Гайдамак</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107 813</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124 162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158 065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80 769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105 756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137 931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77 458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108 808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171 951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70 930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89 272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125 150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65 789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72 412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78 947</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Садгород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49 000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77 103</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108 824</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36 765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91 231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124 127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44 643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89 440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166 250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49 000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90 924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115 000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53 125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53 125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53 125</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Чуркин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48 750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104 428</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150 000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37 037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96 168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141 383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60 000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90 146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124 522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50 000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82 970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127 857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36 364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112 470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157 143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27 778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77 872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128 571</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Борисенко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61 791</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95 750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137 500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64 516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95 169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139 024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57 927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86 477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135 897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76 866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82 454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87 705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75 000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96 369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133 333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65 909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91 191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133 333</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Снеговая падь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56 420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96 349</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134 211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60 745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100 702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140 741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61 605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89 915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156 579</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90 909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90 909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90 909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106 590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109 286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111 056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3B3E22"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Баляева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78 182</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105 008</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133 333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59 722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93 000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160 000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63 889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83 655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125 000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76 353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84 528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94 286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82 353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110 541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129 412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82 778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115 664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140 909</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64, 71 микрорайоны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61 983</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102 439</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170 000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57 407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94 897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145 000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64 000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86 154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136 364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67 073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82 996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107 143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116 667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129 605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154 545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38 333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66 250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91 667</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Патрокл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75 274</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111 857</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144 286</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80 172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115 852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162 564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75 863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100 469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122 692</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Тихая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78 571</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111 769</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161 905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75 000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94 018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111 111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64 815</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80 471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92 063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71 429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86 548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101 667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91 429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108 024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142 353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61 364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86 687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111 111</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Трудовая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87 143</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104 203</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118 750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77 174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95 926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115 217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55 000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81 494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95 455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76 866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78 845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83 871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50 000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85 417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116 667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79 412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93 053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113 636</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Заря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74 510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109 491</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174 359</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88 372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95 941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116 364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52 740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78 373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101 563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50 368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60 847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103 409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Трудовое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54 194</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83 452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107 576</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46 552</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74 032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102 703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57 407</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78 062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95 385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66 393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71 904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78 226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58 333</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91 480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109 375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Снеговая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50 000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97 241</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152 273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78 571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78 571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78 571</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58 871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76 016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91 667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68 800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73 571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79 333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69 444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82 850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102 941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102 941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103 743</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104 545</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о. Русский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37 838</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62 600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76 667</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31 429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61 528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80 000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54 688</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69 125</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87 500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52 381</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62 078</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68 852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r>
      <w:tr w:rsidR="00A60DB8" w:rsidRPr="00DF33B4" w:rsidTr="00A60DB8">
        <w:trPr>
          <w:trHeight w:val="198"/>
        </w:trPr>
        <w:tc>
          <w:tcPr>
            <w:tcW w:w="166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A60DB8" w:rsidRPr="00DF33B4" w:rsidRDefault="00A60DB8" w:rsidP="00A60DB8">
            <w:pPr>
              <w:rPr>
                <w:rFonts w:cs="Arial"/>
                <w:b/>
                <w:bCs/>
                <w:color w:val="000000"/>
                <w:sz w:val="14"/>
                <w:szCs w:val="14"/>
              </w:rPr>
            </w:pPr>
            <w:r w:rsidRPr="00DF33B4">
              <w:rPr>
                <w:rFonts w:cs="Arial"/>
                <w:b/>
                <w:bCs/>
                <w:color w:val="000000"/>
                <w:sz w:val="14"/>
                <w:szCs w:val="14"/>
              </w:rPr>
              <w:t>Пригород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37 500</w:t>
            </w:r>
          </w:p>
        </w:tc>
        <w:tc>
          <w:tcPr>
            <w:tcW w:w="850"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84 722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118 519</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57 556</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72 009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88 750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29 310</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67 279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86 154</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65 359</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65 359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65 359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 </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45 714</w:t>
            </w:r>
          </w:p>
        </w:tc>
        <w:tc>
          <w:tcPr>
            <w:tcW w:w="742" w:type="dxa"/>
            <w:tcBorders>
              <w:top w:val="single" w:sz="4" w:space="0" w:color="auto"/>
              <w:left w:val="nil"/>
              <w:bottom w:val="single" w:sz="4" w:space="0" w:color="auto"/>
              <w:right w:val="single" w:sz="4" w:space="0" w:color="auto"/>
            </w:tcBorders>
            <w:shd w:val="clear" w:color="000000" w:fill="9BBB59"/>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45 714</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60DB8" w:rsidRPr="00DF33B4" w:rsidRDefault="00A60DB8" w:rsidP="00A60DB8">
            <w:pPr>
              <w:jc w:val="center"/>
              <w:rPr>
                <w:rFonts w:cs="Arial"/>
                <w:color w:val="000000"/>
                <w:sz w:val="14"/>
                <w:szCs w:val="14"/>
              </w:rPr>
            </w:pPr>
            <w:r w:rsidRPr="00DF33B4">
              <w:rPr>
                <w:rFonts w:cs="Arial"/>
                <w:color w:val="000000"/>
                <w:sz w:val="14"/>
                <w:szCs w:val="14"/>
              </w:rPr>
              <w:t>45 714</w:t>
            </w:r>
          </w:p>
        </w:tc>
      </w:tr>
    </w:tbl>
    <w:p w:rsidR="00710B0C" w:rsidRDefault="00710B0C" w:rsidP="00DE106E">
      <w:r>
        <w:br w:type="page"/>
      </w:r>
    </w:p>
    <w:p w:rsidR="00CB4BB1" w:rsidRDefault="004215BB" w:rsidP="00CB4BB1">
      <w:pPr>
        <w:pStyle w:val="2"/>
        <w:rPr>
          <w:rFonts w:ascii="Arial" w:hAnsi="Arial" w:cs="Arial"/>
          <w:sz w:val="20"/>
          <w:szCs w:val="20"/>
        </w:rPr>
      </w:pPr>
      <w:bookmarkStart w:id="15" w:name="_Toc531533068"/>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5"/>
    </w:p>
    <w:tbl>
      <w:tblPr>
        <w:tblW w:w="7904" w:type="dxa"/>
        <w:tblInd w:w="93" w:type="dxa"/>
        <w:tblLook w:val="04A0" w:firstRow="1" w:lastRow="0" w:firstColumn="1" w:lastColumn="0" w:noHBand="0" w:noVBand="1"/>
      </w:tblPr>
      <w:tblGrid>
        <w:gridCol w:w="2567"/>
        <w:gridCol w:w="1034"/>
        <w:gridCol w:w="1075"/>
        <w:gridCol w:w="1193"/>
        <w:gridCol w:w="1075"/>
        <w:gridCol w:w="960"/>
      </w:tblGrid>
      <w:tr w:rsidR="006C6A37" w:rsidRPr="006C6A37" w:rsidTr="006C6A37">
        <w:trPr>
          <w:trHeight w:val="17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37" w:rsidRPr="006C6A37" w:rsidRDefault="006C6A37" w:rsidP="006C6A37">
            <w:pPr>
              <w:rPr>
                <w:rFonts w:cs="Arial"/>
                <w:color w:val="000000"/>
                <w:sz w:val="20"/>
              </w:rPr>
            </w:pPr>
            <w:r w:rsidRPr="006C6A37">
              <w:rPr>
                <w:rFonts w:cs="Arial"/>
                <w:color w:val="000000"/>
                <w:sz w:val="20"/>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ноя.18</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окт.18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6A37" w:rsidRPr="006C6A37" w:rsidRDefault="006C6A37" w:rsidP="006C6A37">
            <w:pPr>
              <w:rPr>
                <w:rFonts w:cs="Arial"/>
                <w:color w:val="000000"/>
                <w:sz w:val="20"/>
              </w:rPr>
            </w:pPr>
            <w:r w:rsidRPr="006C6A37">
              <w:rPr>
                <w:rFonts w:cs="Arial"/>
                <w:color w:val="000000"/>
                <w:sz w:val="20"/>
              </w:rPr>
              <w:t> </w:t>
            </w:r>
          </w:p>
        </w:tc>
      </w:tr>
      <w:tr w:rsidR="006C6A37" w:rsidRPr="006C6A37" w:rsidTr="006C6A37">
        <w:trPr>
          <w:trHeight w:val="170"/>
        </w:trPr>
        <w:tc>
          <w:tcPr>
            <w:tcW w:w="25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Район</w:t>
            </w:r>
          </w:p>
        </w:tc>
        <w:tc>
          <w:tcPr>
            <w:tcW w:w="103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Средняя</w:t>
            </w:r>
          </w:p>
        </w:tc>
        <w:tc>
          <w:tcPr>
            <w:tcW w:w="119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Средняя</w:t>
            </w:r>
          </w:p>
        </w:tc>
        <w:tc>
          <w:tcPr>
            <w:tcW w:w="960"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color w:val="000000"/>
                <w:sz w:val="20"/>
              </w:rPr>
            </w:pPr>
            <w:r w:rsidRPr="006C6A37">
              <w:rPr>
                <w:rFonts w:cs="Arial"/>
                <w:color w:val="000000"/>
                <w:sz w:val="20"/>
              </w:rPr>
              <w:t>% изм</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64, 71 микрорайоны</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67 000</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86 455</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110 815</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85 893</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0,65%</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Баляева</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60 241</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82 882</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108 333</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76 029</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9,01%</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Вторая речка</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77 199</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105 003</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157 143</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106 174</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-1,10%</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Луговая</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85 714</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113 170</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140 625</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114 625</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-1,27%</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Океанская</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72 642</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89 009</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125 656</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86 803</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2,54%</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Третья рабочая</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94 582</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126 145</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143 051</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116 746</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8,05%</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Центр</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130 382</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147 982</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171 866</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148 005</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-0,02%</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Чуркин</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73 014</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106 503</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169 056</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101 706</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4,72%</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Эгершельд</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83 192</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101 104</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148 148</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100 473</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0,63%</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Седанка</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85 243</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85 581</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86 000</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rPr>
                <w:rFonts w:cs="Arial"/>
                <w:color w:val="000000"/>
                <w:sz w:val="20"/>
              </w:rPr>
            </w:pPr>
            <w:r w:rsidRPr="006C6A37">
              <w:rPr>
                <w:rFonts w:cs="Arial"/>
                <w:color w:val="000000"/>
                <w:sz w:val="20"/>
              </w:rPr>
              <w:t> </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Заря</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76 255</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96 017</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103 533</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93 832</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jc w:val="right"/>
              <w:rPr>
                <w:rFonts w:cs="Arial"/>
                <w:color w:val="000000"/>
                <w:sz w:val="20"/>
              </w:rPr>
            </w:pPr>
            <w:r w:rsidRPr="006C6A37">
              <w:rPr>
                <w:rFonts w:cs="Arial"/>
                <w:color w:val="000000"/>
                <w:sz w:val="20"/>
              </w:rPr>
              <w:t>2,33%</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Борисенко</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65 448</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79 444</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93 750</w:t>
            </w:r>
          </w:p>
        </w:tc>
        <w:tc>
          <w:tcPr>
            <w:tcW w:w="1075" w:type="dxa"/>
            <w:tcBorders>
              <w:top w:val="nil"/>
              <w:left w:val="nil"/>
              <w:bottom w:val="single" w:sz="4" w:space="0" w:color="auto"/>
              <w:right w:val="single" w:sz="4" w:space="0" w:color="auto"/>
            </w:tcBorders>
            <w:shd w:val="clear" w:color="000000" w:fill="D8E4BC"/>
            <w:noWrap/>
            <w:vAlign w:val="bottom"/>
            <w:hideMark/>
          </w:tcPr>
          <w:p w:rsidR="006C6A37" w:rsidRPr="006C6A37" w:rsidRDefault="006C6A37" w:rsidP="006C6A37">
            <w:pPr>
              <w:rPr>
                <w:rFonts w:cs="Arial"/>
                <w:color w:val="000000"/>
                <w:sz w:val="20"/>
              </w:rPr>
            </w:pPr>
            <w:r w:rsidRPr="006C6A37">
              <w:rPr>
                <w:rFonts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rPr>
                <w:rFonts w:cs="Arial"/>
                <w:color w:val="000000"/>
                <w:sz w:val="20"/>
              </w:rPr>
            </w:pPr>
            <w:r w:rsidRPr="006C6A37">
              <w:rPr>
                <w:rFonts w:cs="Arial"/>
                <w:color w:val="000000"/>
                <w:sz w:val="20"/>
              </w:rPr>
              <w:t> </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Некрасовская</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116 933</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155 216</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200 556</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133 932</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rPr>
                <w:rFonts w:cs="Arial"/>
                <w:color w:val="000000"/>
                <w:sz w:val="20"/>
              </w:rPr>
            </w:pPr>
            <w:r w:rsidRPr="006C6A37">
              <w:rPr>
                <w:rFonts w:cs="Arial"/>
                <w:color w:val="000000"/>
                <w:sz w:val="20"/>
              </w:rPr>
              <w:t> </w:t>
            </w:r>
          </w:p>
        </w:tc>
      </w:tr>
      <w:tr w:rsidR="006C6A37" w:rsidRPr="006C6A37" w:rsidTr="006C6A37">
        <w:trPr>
          <w:trHeight w:val="1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6C6A37" w:rsidRPr="006C6A37" w:rsidRDefault="006C6A37" w:rsidP="006C6A37">
            <w:pPr>
              <w:rPr>
                <w:rFonts w:cs="Arial"/>
                <w:b/>
                <w:bCs/>
                <w:color w:val="000000"/>
                <w:sz w:val="20"/>
              </w:rPr>
            </w:pPr>
            <w:r w:rsidRPr="006C6A37">
              <w:rPr>
                <w:rFonts w:cs="Arial"/>
                <w:b/>
                <w:bCs/>
                <w:color w:val="000000"/>
                <w:sz w:val="20"/>
              </w:rPr>
              <w:t>Пригород</w:t>
            </w:r>
          </w:p>
        </w:tc>
        <w:tc>
          <w:tcPr>
            <w:tcW w:w="1034"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76 782</w:t>
            </w:r>
          </w:p>
        </w:tc>
        <w:tc>
          <w:tcPr>
            <w:tcW w:w="1075" w:type="dxa"/>
            <w:tcBorders>
              <w:top w:val="nil"/>
              <w:left w:val="nil"/>
              <w:bottom w:val="single" w:sz="4" w:space="0" w:color="auto"/>
              <w:right w:val="single" w:sz="4" w:space="0" w:color="auto"/>
            </w:tcBorders>
            <w:shd w:val="clear" w:color="000000" w:fill="D8E4BC"/>
            <w:noWrap/>
            <w:vAlign w:val="center"/>
            <w:hideMark/>
          </w:tcPr>
          <w:p w:rsidR="006C6A37" w:rsidRPr="006C6A37" w:rsidRDefault="006C6A37" w:rsidP="006C6A37">
            <w:pPr>
              <w:jc w:val="center"/>
              <w:rPr>
                <w:rFonts w:cs="Arial"/>
                <w:b/>
                <w:bCs/>
                <w:color w:val="000000"/>
                <w:sz w:val="20"/>
              </w:rPr>
            </w:pPr>
            <w:r w:rsidRPr="006C6A37">
              <w:rPr>
                <w:rFonts w:cs="Arial"/>
                <w:b/>
                <w:bCs/>
                <w:color w:val="000000"/>
                <w:sz w:val="20"/>
              </w:rPr>
              <w:t>84 053</w:t>
            </w:r>
          </w:p>
        </w:tc>
        <w:tc>
          <w:tcPr>
            <w:tcW w:w="1193" w:type="dxa"/>
            <w:tcBorders>
              <w:top w:val="nil"/>
              <w:left w:val="nil"/>
              <w:bottom w:val="single" w:sz="4" w:space="0" w:color="auto"/>
              <w:right w:val="single" w:sz="4" w:space="0" w:color="auto"/>
            </w:tcBorders>
            <w:shd w:val="clear" w:color="auto" w:fill="auto"/>
            <w:noWrap/>
            <w:vAlign w:val="center"/>
            <w:hideMark/>
          </w:tcPr>
          <w:p w:rsidR="006C6A37" w:rsidRPr="006C6A37" w:rsidRDefault="006C6A37" w:rsidP="006C6A37">
            <w:pPr>
              <w:jc w:val="center"/>
              <w:rPr>
                <w:rFonts w:cs="Arial"/>
                <w:color w:val="000000"/>
                <w:sz w:val="20"/>
              </w:rPr>
            </w:pPr>
            <w:r w:rsidRPr="006C6A37">
              <w:rPr>
                <w:rFonts w:cs="Arial"/>
                <w:color w:val="000000"/>
                <w:sz w:val="20"/>
              </w:rPr>
              <w:t>92 553</w:t>
            </w:r>
          </w:p>
        </w:tc>
        <w:tc>
          <w:tcPr>
            <w:tcW w:w="1075" w:type="dxa"/>
            <w:tcBorders>
              <w:top w:val="nil"/>
              <w:left w:val="nil"/>
              <w:bottom w:val="single" w:sz="4" w:space="0" w:color="auto"/>
              <w:right w:val="single" w:sz="4" w:space="0" w:color="auto"/>
            </w:tcBorders>
            <w:shd w:val="clear" w:color="000000" w:fill="D8E4BC"/>
            <w:noWrap/>
            <w:vAlign w:val="bottom"/>
            <w:hideMark/>
          </w:tcPr>
          <w:p w:rsidR="006C6A37" w:rsidRPr="006C6A37" w:rsidRDefault="006C6A37" w:rsidP="006C6A37">
            <w:pPr>
              <w:rPr>
                <w:rFonts w:cs="Arial"/>
                <w:color w:val="000000"/>
                <w:sz w:val="20"/>
              </w:rPr>
            </w:pPr>
            <w:r w:rsidRPr="006C6A37">
              <w:rPr>
                <w:rFonts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C6A37" w:rsidRPr="006C6A37" w:rsidRDefault="006C6A37" w:rsidP="006C6A37">
            <w:pPr>
              <w:rPr>
                <w:rFonts w:cs="Arial"/>
                <w:color w:val="000000"/>
                <w:sz w:val="20"/>
              </w:rPr>
            </w:pPr>
            <w:r w:rsidRPr="006C6A37">
              <w:rPr>
                <w:rFonts w:cs="Arial"/>
                <w:color w:val="000000"/>
                <w:sz w:val="20"/>
              </w:rPr>
              <w:t> </w:t>
            </w:r>
          </w:p>
        </w:tc>
      </w:tr>
    </w:tbl>
    <w:p w:rsidR="00077B1D" w:rsidRDefault="00077B1D" w:rsidP="00FD6056">
      <w:pPr>
        <w:pStyle w:val="2"/>
        <w:jc w:val="center"/>
        <w:rPr>
          <w:rFonts w:ascii="Arial" w:hAnsi="Arial" w:cs="Arial"/>
          <w:sz w:val="20"/>
          <w:szCs w:val="20"/>
          <w:lang w:val="en-US"/>
        </w:rPr>
      </w:pPr>
    </w:p>
    <w:p w:rsidR="00C64D7C" w:rsidRPr="008A782A" w:rsidRDefault="00C64D7C" w:rsidP="00FD6056">
      <w:pPr>
        <w:pStyle w:val="2"/>
        <w:jc w:val="center"/>
        <w:rPr>
          <w:rFonts w:ascii="Arial" w:hAnsi="Arial" w:cs="Arial"/>
          <w:sz w:val="20"/>
          <w:szCs w:val="20"/>
        </w:rPr>
      </w:pPr>
      <w:bookmarkStart w:id="16" w:name="_Toc531533069"/>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3"/>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6"/>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61 983</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102 439</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93</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78 182</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105 008</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45</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98 611</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111 914</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135 135</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30</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61 791</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95 750</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45</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5B6EBA" w:rsidRDefault="005B6EBA">
            <w:pPr>
              <w:jc w:val="center"/>
              <w:rPr>
                <w:rFonts w:cs="Arial"/>
                <w:color w:val="000000"/>
                <w:sz w:val="20"/>
              </w:rPr>
            </w:pPr>
            <w:r>
              <w:rPr>
                <w:rFonts w:cs="Arial"/>
                <w:color w:val="000000"/>
                <w:sz w:val="20"/>
              </w:rPr>
              <w:t>49 020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111 795</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187 500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118</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107 813</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124 162</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158 065</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10</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74 510</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109 491</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174 359</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20</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58 163</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96 699</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109 375</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138 676</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193 750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29</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37 838</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62 600</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76 667</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9</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27 907</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94 472</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181 481</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15</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75 274</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111 857</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144 286</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6</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62 188</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133 302</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213 158</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41</w:t>
            </w:r>
          </w:p>
        </w:tc>
      </w:tr>
      <w:tr w:rsidR="005B6EBA"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37 500</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84 722</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118 519</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10</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49 000</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77 103</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w:t>
            </w:r>
          </w:p>
        </w:tc>
      </w:tr>
      <w:tr w:rsidR="005B6EBA"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70 588</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117 539</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145 946</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16</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97 241</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152 273</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56 420</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96 349</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134 211</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26</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88 889</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118 465</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152 500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44</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111 769</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161 905</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28</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77 273</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123 179</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161 364</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19</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80 612</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117 136</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158 000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42</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87 143</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104 203</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14</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54 194</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83 452</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107 576</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23</w:t>
            </w:r>
          </w:p>
        </w:tc>
      </w:tr>
      <w:tr w:rsidR="005B6EBA"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92 813</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110 048</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145 455</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7</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94 318</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147 032</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236 842</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49</w:t>
            </w:r>
          </w:p>
        </w:tc>
      </w:tr>
      <w:tr w:rsidR="005B6EBA" w:rsidRPr="00C47C6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48 750</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104 428</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99</w:t>
            </w:r>
          </w:p>
        </w:tc>
      </w:tr>
      <w:tr w:rsidR="005B6EB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53 191</w:t>
            </w:r>
          </w:p>
        </w:tc>
        <w:tc>
          <w:tcPr>
            <w:tcW w:w="1080" w:type="dxa"/>
            <w:tcBorders>
              <w:top w:val="nil"/>
              <w:left w:val="nil"/>
              <w:bottom w:val="single" w:sz="4" w:space="0" w:color="auto"/>
              <w:right w:val="single" w:sz="4" w:space="0" w:color="auto"/>
            </w:tcBorders>
            <w:shd w:val="clear" w:color="000000" w:fill="C6E0B4"/>
            <w:noWrap/>
            <w:vAlign w:val="bottom"/>
          </w:tcPr>
          <w:p w:rsidR="005B6EBA" w:rsidRDefault="005B6EBA">
            <w:pPr>
              <w:jc w:val="center"/>
              <w:rPr>
                <w:rFonts w:cs="Arial"/>
                <w:b/>
                <w:bCs/>
                <w:color w:val="000000"/>
                <w:sz w:val="20"/>
              </w:rPr>
            </w:pPr>
            <w:r>
              <w:rPr>
                <w:rFonts w:cs="Arial"/>
                <w:b/>
                <w:bCs/>
                <w:color w:val="000000"/>
                <w:sz w:val="20"/>
              </w:rPr>
              <w:t>116 650</w:t>
            </w:r>
          </w:p>
        </w:tc>
        <w:tc>
          <w:tcPr>
            <w:tcW w:w="129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161 818</w:t>
            </w:r>
          </w:p>
        </w:tc>
        <w:tc>
          <w:tcPr>
            <w:tcW w:w="706" w:type="dxa"/>
            <w:tcBorders>
              <w:top w:val="nil"/>
              <w:left w:val="nil"/>
              <w:bottom w:val="single" w:sz="4" w:space="0" w:color="auto"/>
              <w:right w:val="single" w:sz="4" w:space="0" w:color="auto"/>
            </w:tcBorders>
            <w:shd w:val="clear" w:color="auto" w:fill="auto"/>
            <w:noWrap/>
            <w:vAlign w:val="bottom"/>
          </w:tcPr>
          <w:p w:rsidR="005B6EBA" w:rsidRDefault="005B6EBA">
            <w:pPr>
              <w:jc w:val="center"/>
              <w:rPr>
                <w:rFonts w:cs="Arial"/>
                <w:color w:val="000000"/>
                <w:sz w:val="20"/>
              </w:rPr>
            </w:pPr>
            <w:r>
              <w:rPr>
                <w:rFonts w:cs="Arial"/>
                <w:color w:val="000000"/>
                <w:sz w:val="20"/>
              </w:rPr>
              <w:t>31</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57 407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94 897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145 000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92</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59 722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93 000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40</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81 373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101 843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39</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64 516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95 169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139 024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57</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49 020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103 153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169 048</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151</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80 769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105 756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137 931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88 372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95 941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116 364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103 104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162 308</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63</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54 167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125 562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229 167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43</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31 429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61 528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25</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52 188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96 823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190 476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24</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80 172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115 852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162 564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88 636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124 011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168 889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49</w:t>
            </w:r>
          </w:p>
        </w:tc>
      </w:tr>
      <w:tr w:rsidR="005B6EBA"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57 556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72 009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88 750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36 765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91 231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124 127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21</w:t>
            </w:r>
          </w:p>
        </w:tc>
      </w:tr>
      <w:tr w:rsidR="005B6EBA"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65 361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100 866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28</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78 571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78 571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60 745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100 702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140 741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32</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104 422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198 276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56</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94 018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42</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96 739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130 805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160 714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19</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87 353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112 356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146 296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50</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77 174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95 926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115 217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46 552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74 032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102 703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31</w:t>
            </w:r>
          </w:p>
        </w:tc>
      </w:tr>
      <w:tr w:rsidR="005B6EBA"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28 113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73 705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109 524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70 455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133 884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236 842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103</w:t>
            </w:r>
          </w:p>
        </w:tc>
      </w:tr>
      <w:tr w:rsidR="005B6EBA" w:rsidRPr="00C64D7C"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55 952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55 952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55 952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37 037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96 168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141 383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154</w:t>
            </w:r>
          </w:p>
        </w:tc>
      </w:tr>
      <w:tr w:rsidR="005B6EBA"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59 524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121 367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272 121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71</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86 154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63 889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83 655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36</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96 537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138 983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46</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57 927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86 477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135 897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45</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5B6EBA" w:rsidRDefault="005B6EBA">
            <w:pPr>
              <w:jc w:val="center"/>
              <w:rPr>
                <w:rFonts w:cs="Arial"/>
                <w:color w:val="000000"/>
                <w:sz w:val="20"/>
              </w:rPr>
            </w:pPr>
            <w:r>
              <w:rPr>
                <w:rFonts w:cs="Arial"/>
                <w:color w:val="000000"/>
                <w:sz w:val="20"/>
              </w:rPr>
              <w:t>50 463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97 317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151 031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77 458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108 808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171 951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52 740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78 373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101 563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90 160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151 515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44</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77 193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120 964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193 333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54 688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69 125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27 000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86 405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75 863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100 469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122 692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76 667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133 622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213 992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70</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29 310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67 279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86 154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44 643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89 440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166 250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42 574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100 625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163 636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30</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58 871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76 016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61 605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89 915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156 579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20</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73 438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101 608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168 571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66</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64 815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80 471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92 063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29</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59 524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110 415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144 872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24</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70 968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106 539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185 897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69</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81 494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95 455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57 407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78 062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95 385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22</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88 372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88 698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89 024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38 194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139 632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333 333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138</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60 000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90 146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124 522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123 944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262 105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74</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r w:rsidR="004E2C68">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67 073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82 996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76 353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84 528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81 522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99 007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124 444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76 866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82 454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87 705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66 346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98 314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35</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70 930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89 272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125 150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50 368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60 847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103 409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54 348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76 142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92 169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79 333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104 563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152 448</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62 078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68 852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54 028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115 095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184 546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63 483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129 442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210 811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20</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65 359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65 359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65 359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49 000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90 924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36 667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94 749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128 205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68 800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73 571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79 333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90 909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90 909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90 909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75 472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108 337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169 091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24</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86 548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101 667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99 878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134 112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187 654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98 082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150 685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18</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76 866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78 845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83 871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66 393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71 904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78 226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60 345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66 978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73 611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67 996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145 964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270 012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57</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82 970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127 857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64 950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123 641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215 584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29</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5E2F6E" w:rsidP="00810139">
            <w:pPr>
              <w:jc w:val="center"/>
              <w:rPr>
                <w:rFonts w:cs="Arial"/>
                <w:b/>
                <w:bCs/>
                <w:color w:val="000000"/>
                <w:sz w:val="20"/>
              </w:rPr>
            </w:pPr>
            <w:r>
              <w:rPr>
                <w:rFonts w:cs="Arial"/>
                <w:b/>
                <w:bCs/>
                <w:color w:val="000000"/>
                <w:sz w:val="20"/>
              </w:rPr>
              <w:lastRenderedPageBreak/>
              <w:t>К</w:t>
            </w:r>
            <w:r w:rsidR="00810139">
              <w:rPr>
                <w:rFonts w:cs="Arial"/>
                <w:b/>
                <w:bCs/>
                <w:color w:val="000000"/>
                <w:sz w:val="20"/>
              </w:rPr>
              <w:t>вартиры</w:t>
            </w:r>
            <w:r>
              <w:rPr>
                <w:rFonts w:cs="Arial"/>
                <w:b/>
                <w:bCs/>
                <w:color w:val="000000"/>
                <w:sz w:val="20"/>
              </w:rPr>
              <w:t xml:space="preserve"> </w:t>
            </w:r>
            <w:r w:rsidR="00810139">
              <w:rPr>
                <w:rFonts w:cs="Arial"/>
                <w:b/>
                <w:bCs/>
                <w:color w:val="000000"/>
                <w:sz w:val="20"/>
              </w:rPr>
              <w:t>«</w:t>
            </w:r>
            <w:r w:rsidR="00DF5133">
              <w:rPr>
                <w:rFonts w:cs="Arial"/>
                <w:b/>
                <w:bCs/>
                <w:color w:val="000000"/>
                <w:sz w:val="20"/>
              </w:rPr>
              <w:t>Гостин</w:t>
            </w:r>
            <w:r>
              <w:rPr>
                <w:rFonts w:cs="Arial"/>
                <w:b/>
                <w:bCs/>
                <w:color w:val="000000"/>
                <w:sz w:val="20"/>
              </w:rPr>
              <w:t>ичного типа</w:t>
            </w:r>
            <w:r w:rsidR="00810139">
              <w:rPr>
                <w:rFonts w:cs="Arial"/>
                <w:b/>
                <w:bCs/>
                <w:color w:val="000000"/>
                <w:sz w:val="20"/>
              </w:rPr>
              <w:t>»</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116 667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129 605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154 545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82 353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110 541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129 412</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56</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106 897</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123 245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96 369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32</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5B6EBA" w:rsidRDefault="005B6EBA">
            <w:pPr>
              <w:jc w:val="center"/>
              <w:rPr>
                <w:rFonts w:cs="Arial"/>
                <w:color w:val="000000"/>
                <w:sz w:val="20"/>
              </w:rPr>
            </w:pPr>
            <w:r>
              <w:rPr>
                <w:rFonts w:cs="Arial"/>
                <w:color w:val="000000"/>
                <w:sz w:val="20"/>
              </w:rPr>
              <w:t>91 667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121 247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178 571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29</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129 412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136 352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142 143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105 714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128 371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152 941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28</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88 238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138 235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157 451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176 667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121 429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121 429</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82 850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102 941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106 590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109 286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111 056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119 954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39</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91 429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108 024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142 353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21</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124 138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124 138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124 138</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87 500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114 856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173 810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85 417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91 480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18</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93 478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110 804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150 000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173 810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200 000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36 364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112 470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48</w:t>
            </w:r>
          </w:p>
        </w:tc>
      </w:tr>
      <w:tr w:rsidR="005B6EBA"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58 750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115 278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38 333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66 250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82 778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115 664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140 909</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65 909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91 191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16</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73 684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98 137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65 789</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72 412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78 947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88 235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90 546</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94 444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105 692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138 235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109 091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109 091</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102 174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109 420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45 714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45 714</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45 714</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53 125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53 125</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53 125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102 941</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103 743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104 545</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69 565</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106 848</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159 091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61 364</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86 687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5</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82 500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82 500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82 500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74 706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91 013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79 412</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93 053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3</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89 286</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99 270</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6</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93 333</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123 527</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10</w:t>
            </w:r>
          </w:p>
        </w:tc>
      </w:tr>
      <w:tr w:rsidR="005B6EBA" w:rsidTr="00D61D74">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27 778</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77 872</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128 571</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17</w:t>
            </w:r>
          </w:p>
        </w:tc>
      </w:tr>
      <w:tr w:rsidR="005B6EB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5B6EBA" w:rsidRDefault="005B6EBA">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5B6EBA" w:rsidRDefault="005B6EBA">
            <w:pPr>
              <w:jc w:val="center"/>
              <w:rPr>
                <w:rFonts w:cs="Arial"/>
                <w:b/>
                <w:bCs/>
                <w:color w:val="000000"/>
                <w:sz w:val="20"/>
              </w:rPr>
            </w:pPr>
            <w:r>
              <w:rPr>
                <w:rFonts w:cs="Arial"/>
                <w:b/>
                <w:bCs/>
                <w:color w:val="000000"/>
                <w:sz w:val="20"/>
              </w:rPr>
              <w:t>99 163</w:t>
            </w:r>
          </w:p>
        </w:tc>
        <w:tc>
          <w:tcPr>
            <w:tcW w:w="129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5B6EBA" w:rsidRDefault="005B6EBA">
            <w:pPr>
              <w:jc w:val="center"/>
              <w:rPr>
                <w:rFonts w:cs="Arial"/>
                <w:color w:val="000000"/>
                <w:sz w:val="20"/>
              </w:rPr>
            </w:pPr>
            <w:r>
              <w:rPr>
                <w:rFonts w:cs="Arial"/>
                <w:color w:val="000000"/>
                <w:sz w:val="20"/>
              </w:rPr>
              <w:t>15</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7" w:name="_Toc531533070"/>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7"/>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5B6EBA">
        <w:rPr>
          <w:rFonts w:cs="Arial"/>
          <w:snapToGrid w:val="0"/>
          <w:sz w:val="16"/>
          <w:szCs w:val="16"/>
        </w:rPr>
        <w:t>Ноя</w:t>
      </w:r>
      <w:r w:rsidR="00FF274F">
        <w:rPr>
          <w:rFonts w:cs="Arial"/>
          <w:snapToGrid w:val="0"/>
          <w:sz w:val="16"/>
          <w:szCs w:val="16"/>
        </w:rPr>
        <w:t>брь</w:t>
      </w:r>
      <w:r>
        <w:rPr>
          <w:rFonts w:cs="Arial"/>
          <w:bCs/>
          <w:sz w:val="16"/>
          <w:szCs w:val="16"/>
          <w:shd w:val="clear" w:color="auto" w:fill="FFFFFF"/>
        </w:rPr>
        <w:t xml:space="preserve"> 201</w:t>
      </w:r>
      <w:r w:rsidR="0053350E">
        <w:rPr>
          <w:rFonts w:cs="Arial"/>
          <w:bCs/>
          <w:sz w:val="16"/>
          <w:szCs w:val="16"/>
          <w:shd w:val="clear" w:color="auto" w:fill="FFFFFF"/>
        </w:rPr>
        <w:t>8</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w:t>
      </w:r>
      <w:r w:rsidR="00077B1D">
        <w:rPr>
          <w:rFonts w:cs="Arial"/>
          <w:sz w:val="16"/>
          <w:szCs w:val="16"/>
        </w:rPr>
        <w:t>сертифициро</w:t>
      </w:r>
      <w:r>
        <w:rPr>
          <w:rFonts w:cs="Arial"/>
          <w:sz w:val="16"/>
          <w:szCs w:val="16"/>
        </w:rPr>
        <w:t>ванный аналитик</w:t>
      </w:r>
      <w:r w:rsidR="00077B1D">
        <w:rPr>
          <w:rFonts w:cs="Arial"/>
          <w:sz w:val="16"/>
          <w:szCs w:val="16"/>
        </w:rPr>
        <w:t>-консультант</w:t>
      </w:r>
      <w:r>
        <w:rPr>
          <w:rFonts w:cs="Arial"/>
          <w:sz w:val="16"/>
          <w:szCs w:val="16"/>
        </w:rPr>
        <w:t xml:space="preserve"> рынка недвижимости (</w:t>
      </w:r>
      <w:r w:rsidR="00A72C20">
        <w:rPr>
          <w:rFonts w:cs="Arial"/>
          <w:sz w:val="16"/>
          <w:szCs w:val="16"/>
        </w:rPr>
        <w:t>САКРН</w:t>
      </w:r>
      <w:r>
        <w:rPr>
          <w:rFonts w:cs="Arial"/>
          <w:sz w:val="16"/>
          <w:szCs w:val="16"/>
        </w:rPr>
        <w:t xml:space="preserve">).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sidRPr="00FF274F">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8" w:name="_Toc531533071"/>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8"/>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5B6EBA">
        <w:rPr>
          <w:rFonts w:cs="Arial"/>
          <w:sz w:val="16"/>
          <w:szCs w:val="16"/>
        </w:rPr>
        <w:t>Но</w:t>
      </w:r>
      <w:r w:rsidR="00FF274F">
        <w:rPr>
          <w:rFonts w:cs="Arial"/>
          <w:sz w:val="16"/>
          <w:szCs w:val="16"/>
        </w:rPr>
        <w:t>ябре</w:t>
      </w:r>
      <w:r w:rsidR="00FF54A7" w:rsidRPr="00651CF1">
        <w:rPr>
          <w:rFonts w:cs="Arial"/>
          <w:sz w:val="16"/>
          <w:szCs w:val="16"/>
        </w:rPr>
        <w:t xml:space="preserve"> 201</w:t>
      </w:r>
      <w:r w:rsidR="0053350E">
        <w:rPr>
          <w:rFonts w:cs="Arial"/>
          <w:sz w:val="16"/>
          <w:szCs w:val="16"/>
        </w:rPr>
        <w:t>8</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264A97"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p w:rsidR="00264A97" w:rsidRDefault="00264A97" w:rsidP="00264A97">
      <w:pPr>
        <w:jc w:val="both"/>
        <w:rPr>
          <w:rFonts w:cs="Arial"/>
          <w:sz w:val="16"/>
          <w:szCs w:val="16"/>
          <w:shd w:val="clear" w:color="auto" w:fill="FFFFFF"/>
        </w:rPr>
      </w:pPr>
    </w:p>
    <w:p w:rsidR="00264A97" w:rsidRPr="008A782A" w:rsidRDefault="00264A97" w:rsidP="00264A97">
      <w:pPr>
        <w:pStyle w:val="2"/>
        <w:rPr>
          <w:rFonts w:ascii="Arial" w:hAnsi="Arial" w:cs="Arial"/>
          <w:snapToGrid w:val="0"/>
          <w:sz w:val="20"/>
          <w:szCs w:val="20"/>
        </w:rPr>
      </w:pPr>
      <w:bookmarkStart w:id="19" w:name="_Toc531533072"/>
      <w:r>
        <w:rPr>
          <w:rFonts w:ascii="Arial" w:hAnsi="Arial" w:cs="Arial"/>
          <w:snapToGrid w:val="0"/>
          <w:sz w:val="20"/>
          <w:szCs w:val="20"/>
        </w:rPr>
        <w:t>Примечания</w:t>
      </w:r>
      <w:r w:rsidRPr="008A782A">
        <w:rPr>
          <w:rFonts w:ascii="Arial" w:hAnsi="Arial" w:cs="Arial"/>
          <w:snapToGrid w:val="0"/>
          <w:sz w:val="20"/>
          <w:szCs w:val="20"/>
        </w:rPr>
        <w:t>.</w:t>
      </w:r>
      <w:bookmarkEnd w:id="19"/>
      <w:r w:rsidRPr="008A782A">
        <w:rPr>
          <w:rFonts w:ascii="Arial" w:hAnsi="Arial" w:cs="Arial"/>
          <w:snapToGrid w:val="0"/>
          <w:sz w:val="20"/>
          <w:szCs w:val="20"/>
        </w:rPr>
        <w:t xml:space="preserve"> </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Пустые ячейки в таблицах означает отсутствие предложений за указанный период времени или не репрезентативность выборки.</w:t>
      </w:r>
    </w:p>
    <w:p w:rsidR="00264A97" w:rsidRPr="002B2737" w:rsidRDefault="00264A97" w:rsidP="00264A97">
      <w:pPr>
        <w:pStyle w:val="23"/>
        <w:widowControl/>
        <w:pBdr>
          <w:top w:val="single" w:sz="4" w:space="1" w:color="auto"/>
          <w:left w:val="single" w:sz="4" w:space="4" w:color="auto"/>
          <w:bottom w:val="single" w:sz="4" w:space="1" w:color="auto"/>
          <w:right w:val="single" w:sz="4" w:space="4" w:color="auto"/>
        </w:pBdr>
        <w:shd w:val="clear" w:color="auto" w:fill="D6E3BC" w:themeFill="accent3" w:themeFillTint="66"/>
        <w:ind w:firstLine="720"/>
        <w:jc w:val="both"/>
        <w:rPr>
          <w:rFonts w:ascii="Arial" w:hAnsi="Arial" w:cs="Arial"/>
          <w:b/>
          <w:i/>
          <w:sz w:val="16"/>
          <w:szCs w:val="16"/>
          <w:lang w:val="ru-RU"/>
        </w:rPr>
      </w:pPr>
      <w:r w:rsidRPr="002B2737">
        <w:rPr>
          <w:rFonts w:ascii="Arial" w:hAnsi="Arial" w:cs="Arial"/>
          <w:b/>
          <w:i/>
          <w:sz w:val="16"/>
          <w:szCs w:val="16"/>
          <w:lang w:val="ru-RU"/>
        </w:rPr>
        <w:t>Данные настоящего Мониторинга не могут служить основанием для совершения сделок: купли-продажи/аренды и пр., для любых целей, по стоимости квадратного метра или объекта в целом указанным в Мониторинге, а могут служить лишь основанием для проведения переговоров сторон.</w:t>
      </w:r>
    </w:p>
    <w:p w:rsidR="00264A97" w:rsidRPr="00651CF1" w:rsidRDefault="00264A97" w:rsidP="00264A97">
      <w:pPr>
        <w:jc w:val="both"/>
        <w:rPr>
          <w:rFonts w:cs="Arial"/>
          <w:sz w:val="16"/>
          <w:szCs w:val="16"/>
        </w:rPr>
      </w:pPr>
    </w:p>
    <w:sectPr w:rsidR="00264A9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D6" w:rsidRDefault="00445AD6" w:rsidP="004C4F72">
      <w:r>
        <w:separator/>
      </w:r>
    </w:p>
  </w:endnote>
  <w:endnote w:type="continuationSeparator" w:id="0">
    <w:p w:rsidR="00445AD6" w:rsidRDefault="00445AD6"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8" w:rsidRPr="0058623F" w:rsidRDefault="00A60DB8"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D6" w:rsidRDefault="00445AD6" w:rsidP="004C4F72">
      <w:r>
        <w:separator/>
      </w:r>
    </w:p>
  </w:footnote>
  <w:footnote w:type="continuationSeparator" w:id="0">
    <w:p w:rsidR="00445AD6" w:rsidRDefault="00445AD6" w:rsidP="004C4F72">
      <w:r>
        <w:continuationSeparator/>
      </w:r>
    </w:p>
  </w:footnote>
  <w:footnote w:id="1">
    <w:p w:rsidR="00A60DB8" w:rsidRPr="00710B0C" w:rsidRDefault="00A60DB8"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A60DB8" w:rsidRPr="00710B0C" w:rsidRDefault="00A60DB8" w:rsidP="00FF274F">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3">
    <w:p w:rsidR="00A60DB8" w:rsidRPr="007436CE" w:rsidRDefault="00A60DB8"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B8" w:rsidRPr="0058623F" w:rsidRDefault="00A60DB8" w:rsidP="009E6EC1">
    <w:pPr>
      <w:pStyle w:val="ab"/>
      <w:pBdr>
        <w:bottom w:val="single" w:sz="4" w:space="1" w:color="auto"/>
      </w:pBdr>
      <w:tabs>
        <w:tab w:val="clear" w:pos="9355"/>
        <w:tab w:val="left" w:pos="6219"/>
      </w:tabs>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Ноябрь</w:t>
    </w:r>
    <w:r w:rsidRPr="0058623F">
      <w:rPr>
        <w:rFonts w:cs="Arial"/>
        <w:snapToGrid w:val="0"/>
        <w:sz w:val="16"/>
        <w:szCs w:val="16"/>
      </w:rPr>
      <w:t xml:space="preserve"> </w:t>
    </w:r>
    <w:r>
      <w:rPr>
        <w:rFonts w:cs="Arial"/>
        <w:snapToGrid w:val="0"/>
        <w:sz w:val="16"/>
        <w:szCs w:val="16"/>
      </w:rPr>
      <w:t>2018</w:t>
    </w:r>
    <w:r>
      <w:rPr>
        <w:rFonts w:cs="Arial"/>
        <w:snapToGrid w:val="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15E8"/>
    <w:rsid w:val="00001D31"/>
    <w:rsid w:val="000064B8"/>
    <w:rsid w:val="00022987"/>
    <w:rsid w:val="00033B07"/>
    <w:rsid w:val="00045B4F"/>
    <w:rsid w:val="00052563"/>
    <w:rsid w:val="000566A0"/>
    <w:rsid w:val="000578A0"/>
    <w:rsid w:val="00057C93"/>
    <w:rsid w:val="00063262"/>
    <w:rsid w:val="00067282"/>
    <w:rsid w:val="000717EA"/>
    <w:rsid w:val="00077B1D"/>
    <w:rsid w:val="0008266D"/>
    <w:rsid w:val="00086492"/>
    <w:rsid w:val="000A26BF"/>
    <w:rsid w:val="000A5A08"/>
    <w:rsid w:val="000A6380"/>
    <w:rsid w:val="000B2ADE"/>
    <w:rsid w:val="000B5988"/>
    <w:rsid w:val="000B5EDB"/>
    <w:rsid w:val="000D3552"/>
    <w:rsid w:val="000D4988"/>
    <w:rsid w:val="000E3CDD"/>
    <w:rsid w:val="000F7EFE"/>
    <w:rsid w:val="00101FAF"/>
    <w:rsid w:val="00104978"/>
    <w:rsid w:val="00145E83"/>
    <w:rsid w:val="00147448"/>
    <w:rsid w:val="00155DF2"/>
    <w:rsid w:val="00160661"/>
    <w:rsid w:val="00167ED6"/>
    <w:rsid w:val="00167F4F"/>
    <w:rsid w:val="001742F0"/>
    <w:rsid w:val="001743C2"/>
    <w:rsid w:val="001778AD"/>
    <w:rsid w:val="00177DBF"/>
    <w:rsid w:val="001867EF"/>
    <w:rsid w:val="00187D71"/>
    <w:rsid w:val="001A03F3"/>
    <w:rsid w:val="001A24D8"/>
    <w:rsid w:val="001A74C3"/>
    <w:rsid w:val="001B164F"/>
    <w:rsid w:val="001B743D"/>
    <w:rsid w:val="001C29C0"/>
    <w:rsid w:val="001C6E17"/>
    <w:rsid w:val="001C7218"/>
    <w:rsid w:val="001D21C1"/>
    <w:rsid w:val="001E11B0"/>
    <w:rsid w:val="001E2BC4"/>
    <w:rsid w:val="001E69CA"/>
    <w:rsid w:val="001F2B81"/>
    <w:rsid w:val="001F559A"/>
    <w:rsid w:val="002010B6"/>
    <w:rsid w:val="00204F9F"/>
    <w:rsid w:val="00211863"/>
    <w:rsid w:val="00212C9A"/>
    <w:rsid w:val="00221BFD"/>
    <w:rsid w:val="00221C56"/>
    <w:rsid w:val="00226674"/>
    <w:rsid w:val="00252750"/>
    <w:rsid w:val="00256F48"/>
    <w:rsid w:val="002572E4"/>
    <w:rsid w:val="00263C19"/>
    <w:rsid w:val="00264A97"/>
    <w:rsid w:val="00276ED0"/>
    <w:rsid w:val="00280908"/>
    <w:rsid w:val="00280E88"/>
    <w:rsid w:val="00281DCA"/>
    <w:rsid w:val="00282F44"/>
    <w:rsid w:val="00286E9F"/>
    <w:rsid w:val="002878D7"/>
    <w:rsid w:val="00287911"/>
    <w:rsid w:val="00294419"/>
    <w:rsid w:val="002A3A5C"/>
    <w:rsid w:val="002B2737"/>
    <w:rsid w:val="002B4998"/>
    <w:rsid w:val="002B4C7A"/>
    <w:rsid w:val="002B59F3"/>
    <w:rsid w:val="002B601A"/>
    <w:rsid w:val="002B65BE"/>
    <w:rsid w:val="002C03EC"/>
    <w:rsid w:val="002E02F8"/>
    <w:rsid w:val="002E3125"/>
    <w:rsid w:val="002E55DF"/>
    <w:rsid w:val="003003F0"/>
    <w:rsid w:val="0030209E"/>
    <w:rsid w:val="00306679"/>
    <w:rsid w:val="003102DF"/>
    <w:rsid w:val="00310D41"/>
    <w:rsid w:val="00316307"/>
    <w:rsid w:val="003244AB"/>
    <w:rsid w:val="003248A7"/>
    <w:rsid w:val="00325718"/>
    <w:rsid w:val="003257E5"/>
    <w:rsid w:val="00332658"/>
    <w:rsid w:val="003516F3"/>
    <w:rsid w:val="003544D2"/>
    <w:rsid w:val="00354D79"/>
    <w:rsid w:val="00367F9E"/>
    <w:rsid w:val="003737FA"/>
    <w:rsid w:val="00376086"/>
    <w:rsid w:val="003766E0"/>
    <w:rsid w:val="00377B08"/>
    <w:rsid w:val="003810BE"/>
    <w:rsid w:val="00382E22"/>
    <w:rsid w:val="00383C00"/>
    <w:rsid w:val="00386FDD"/>
    <w:rsid w:val="003A087E"/>
    <w:rsid w:val="003A2E85"/>
    <w:rsid w:val="003B1F52"/>
    <w:rsid w:val="003D127B"/>
    <w:rsid w:val="003D41E9"/>
    <w:rsid w:val="003D6AD2"/>
    <w:rsid w:val="003E5ECF"/>
    <w:rsid w:val="003F417E"/>
    <w:rsid w:val="003F41D7"/>
    <w:rsid w:val="003F52B3"/>
    <w:rsid w:val="003F62AF"/>
    <w:rsid w:val="004043A3"/>
    <w:rsid w:val="004175BB"/>
    <w:rsid w:val="004209A3"/>
    <w:rsid w:val="004215BB"/>
    <w:rsid w:val="00421AA9"/>
    <w:rsid w:val="0042261A"/>
    <w:rsid w:val="00422FAE"/>
    <w:rsid w:val="004257E6"/>
    <w:rsid w:val="004306E1"/>
    <w:rsid w:val="004370C7"/>
    <w:rsid w:val="0044485C"/>
    <w:rsid w:val="004458F0"/>
    <w:rsid w:val="00445AD6"/>
    <w:rsid w:val="00451DF8"/>
    <w:rsid w:val="00464866"/>
    <w:rsid w:val="00466C83"/>
    <w:rsid w:val="004750EA"/>
    <w:rsid w:val="00476195"/>
    <w:rsid w:val="00486201"/>
    <w:rsid w:val="00486F64"/>
    <w:rsid w:val="00487286"/>
    <w:rsid w:val="00487D08"/>
    <w:rsid w:val="004A4154"/>
    <w:rsid w:val="004B1DCC"/>
    <w:rsid w:val="004C27C8"/>
    <w:rsid w:val="004C4F72"/>
    <w:rsid w:val="004D5099"/>
    <w:rsid w:val="004D6519"/>
    <w:rsid w:val="004D71B7"/>
    <w:rsid w:val="004E1962"/>
    <w:rsid w:val="004E2C68"/>
    <w:rsid w:val="004E2E22"/>
    <w:rsid w:val="00501192"/>
    <w:rsid w:val="0051231D"/>
    <w:rsid w:val="00516B96"/>
    <w:rsid w:val="0052042B"/>
    <w:rsid w:val="00522464"/>
    <w:rsid w:val="00522BBE"/>
    <w:rsid w:val="00522D44"/>
    <w:rsid w:val="00531A6B"/>
    <w:rsid w:val="0053350E"/>
    <w:rsid w:val="00533D94"/>
    <w:rsid w:val="00534149"/>
    <w:rsid w:val="005402F5"/>
    <w:rsid w:val="00541E1C"/>
    <w:rsid w:val="0054262F"/>
    <w:rsid w:val="00560EA4"/>
    <w:rsid w:val="005656B6"/>
    <w:rsid w:val="0058623F"/>
    <w:rsid w:val="00586BB7"/>
    <w:rsid w:val="00591A3D"/>
    <w:rsid w:val="005A1FAF"/>
    <w:rsid w:val="005A7C77"/>
    <w:rsid w:val="005B012A"/>
    <w:rsid w:val="005B015B"/>
    <w:rsid w:val="005B6EBA"/>
    <w:rsid w:val="005C54A8"/>
    <w:rsid w:val="005C5EC2"/>
    <w:rsid w:val="005C7749"/>
    <w:rsid w:val="005D0240"/>
    <w:rsid w:val="005D2016"/>
    <w:rsid w:val="005E2F6E"/>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96E05"/>
    <w:rsid w:val="006A60A2"/>
    <w:rsid w:val="006C4DB3"/>
    <w:rsid w:val="006C6A37"/>
    <w:rsid w:val="006D1CA4"/>
    <w:rsid w:val="006D31D6"/>
    <w:rsid w:val="006D3544"/>
    <w:rsid w:val="006E14AE"/>
    <w:rsid w:val="006E4F9A"/>
    <w:rsid w:val="006F3BA2"/>
    <w:rsid w:val="006F7700"/>
    <w:rsid w:val="007003CE"/>
    <w:rsid w:val="00701D08"/>
    <w:rsid w:val="00702777"/>
    <w:rsid w:val="007039E0"/>
    <w:rsid w:val="00710B0C"/>
    <w:rsid w:val="00712133"/>
    <w:rsid w:val="00714E8F"/>
    <w:rsid w:val="00725C7B"/>
    <w:rsid w:val="00726F8A"/>
    <w:rsid w:val="00746E71"/>
    <w:rsid w:val="00752164"/>
    <w:rsid w:val="00763228"/>
    <w:rsid w:val="00775E70"/>
    <w:rsid w:val="00787EE5"/>
    <w:rsid w:val="0079765A"/>
    <w:rsid w:val="007A3804"/>
    <w:rsid w:val="007A3D84"/>
    <w:rsid w:val="007A4B1E"/>
    <w:rsid w:val="007B78F0"/>
    <w:rsid w:val="007C404C"/>
    <w:rsid w:val="007E21D9"/>
    <w:rsid w:val="007F3ACA"/>
    <w:rsid w:val="007F42FA"/>
    <w:rsid w:val="00800B47"/>
    <w:rsid w:val="00804883"/>
    <w:rsid w:val="00806ADA"/>
    <w:rsid w:val="00810139"/>
    <w:rsid w:val="008121EF"/>
    <w:rsid w:val="00812D5E"/>
    <w:rsid w:val="008135B6"/>
    <w:rsid w:val="00820146"/>
    <w:rsid w:val="00824B2E"/>
    <w:rsid w:val="00826CB3"/>
    <w:rsid w:val="00827961"/>
    <w:rsid w:val="0083069C"/>
    <w:rsid w:val="0083145D"/>
    <w:rsid w:val="008521FB"/>
    <w:rsid w:val="00855644"/>
    <w:rsid w:val="008631CC"/>
    <w:rsid w:val="00866116"/>
    <w:rsid w:val="00871F4A"/>
    <w:rsid w:val="00876E83"/>
    <w:rsid w:val="00882E29"/>
    <w:rsid w:val="008A50D2"/>
    <w:rsid w:val="008A782A"/>
    <w:rsid w:val="008B0353"/>
    <w:rsid w:val="008B0D1B"/>
    <w:rsid w:val="008C04D2"/>
    <w:rsid w:val="008C1723"/>
    <w:rsid w:val="008C6A35"/>
    <w:rsid w:val="008D0013"/>
    <w:rsid w:val="008D0134"/>
    <w:rsid w:val="008E26E6"/>
    <w:rsid w:val="008F16B4"/>
    <w:rsid w:val="008F7BB1"/>
    <w:rsid w:val="00901795"/>
    <w:rsid w:val="0090467F"/>
    <w:rsid w:val="0090722B"/>
    <w:rsid w:val="00925530"/>
    <w:rsid w:val="00934B15"/>
    <w:rsid w:val="0095762B"/>
    <w:rsid w:val="00963CC6"/>
    <w:rsid w:val="0096419E"/>
    <w:rsid w:val="00965E11"/>
    <w:rsid w:val="00973506"/>
    <w:rsid w:val="009772C7"/>
    <w:rsid w:val="00981F94"/>
    <w:rsid w:val="00995A4B"/>
    <w:rsid w:val="009A2399"/>
    <w:rsid w:val="009A62DB"/>
    <w:rsid w:val="009B1229"/>
    <w:rsid w:val="009B1409"/>
    <w:rsid w:val="009B35CB"/>
    <w:rsid w:val="009B6B94"/>
    <w:rsid w:val="009B7B3C"/>
    <w:rsid w:val="009C1F5A"/>
    <w:rsid w:val="009C7F8F"/>
    <w:rsid w:val="009D7CB2"/>
    <w:rsid w:val="009E0708"/>
    <w:rsid w:val="009E6171"/>
    <w:rsid w:val="009E6EC1"/>
    <w:rsid w:val="009E70AA"/>
    <w:rsid w:val="009F0529"/>
    <w:rsid w:val="009F0A23"/>
    <w:rsid w:val="009F2A1A"/>
    <w:rsid w:val="009F5BAF"/>
    <w:rsid w:val="00A00184"/>
    <w:rsid w:val="00A104B6"/>
    <w:rsid w:val="00A11456"/>
    <w:rsid w:val="00A11A48"/>
    <w:rsid w:val="00A15948"/>
    <w:rsid w:val="00A22111"/>
    <w:rsid w:val="00A32455"/>
    <w:rsid w:val="00A35999"/>
    <w:rsid w:val="00A425D1"/>
    <w:rsid w:val="00A46EAD"/>
    <w:rsid w:val="00A52A12"/>
    <w:rsid w:val="00A53341"/>
    <w:rsid w:val="00A55BCD"/>
    <w:rsid w:val="00A60DB8"/>
    <w:rsid w:val="00A72C20"/>
    <w:rsid w:val="00A73F32"/>
    <w:rsid w:val="00A756ED"/>
    <w:rsid w:val="00A7706C"/>
    <w:rsid w:val="00A85226"/>
    <w:rsid w:val="00AA369A"/>
    <w:rsid w:val="00AA4A62"/>
    <w:rsid w:val="00AA4D14"/>
    <w:rsid w:val="00AB3024"/>
    <w:rsid w:val="00AB6179"/>
    <w:rsid w:val="00AC0C1F"/>
    <w:rsid w:val="00AC149C"/>
    <w:rsid w:val="00AC49F3"/>
    <w:rsid w:val="00AD3588"/>
    <w:rsid w:val="00AE5B9F"/>
    <w:rsid w:val="00AF62AD"/>
    <w:rsid w:val="00B0013C"/>
    <w:rsid w:val="00B01DAB"/>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96787"/>
    <w:rsid w:val="00BA097A"/>
    <w:rsid w:val="00BA724F"/>
    <w:rsid w:val="00BB2F24"/>
    <w:rsid w:val="00BB5482"/>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75DDD"/>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13F92"/>
    <w:rsid w:val="00D23E92"/>
    <w:rsid w:val="00D2654D"/>
    <w:rsid w:val="00D30322"/>
    <w:rsid w:val="00D41C35"/>
    <w:rsid w:val="00D42636"/>
    <w:rsid w:val="00D44C72"/>
    <w:rsid w:val="00D54B8D"/>
    <w:rsid w:val="00D61D74"/>
    <w:rsid w:val="00D637DA"/>
    <w:rsid w:val="00D646EA"/>
    <w:rsid w:val="00D75861"/>
    <w:rsid w:val="00D81230"/>
    <w:rsid w:val="00D83438"/>
    <w:rsid w:val="00D87362"/>
    <w:rsid w:val="00D92492"/>
    <w:rsid w:val="00DA3275"/>
    <w:rsid w:val="00DA3276"/>
    <w:rsid w:val="00DB5BE6"/>
    <w:rsid w:val="00DC2B8C"/>
    <w:rsid w:val="00DD15A0"/>
    <w:rsid w:val="00DD7978"/>
    <w:rsid w:val="00DD7DCD"/>
    <w:rsid w:val="00DE106E"/>
    <w:rsid w:val="00DE4D44"/>
    <w:rsid w:val="00DF5133"/>
    <w:rsid w:val="00DF56DF"/>
    <w:rsid w:val="00DF6A7D"/>
    <w:rsid w:val="00E01921"/>
    <w:rsid w:val="00E05C8D"/>
    <w:rsid w:val="00E0625A"/>
    <w:rsid w:val="00E124B6"/>
    <w:rsid w:val="00E1443F"/>
    <w:rsid w:val="00E15544"/>
    <w:rsid w:val="00E1760C"/>
    <w:rsid w:val="00E204B7"/>
    <w:rsid w:val="00E23853"/>
    <w:rsid w:val="00E50F43"/>
    <w:rsid w:val="00E5108A"/>
    <w:rsid w:val="00E61E76"/>
    <w:rsid w:val="00E64E00"/>
    <w:rsid w:val="00E7558F"/>
    <w:rsid w:val="00E75C85"/>
    <w:rsid w:val="00E774CC"/>
    <w:rsid w:val="00E84F8D"/>
    <w:rsid w:val="00E863A5"/>
    <w:rsid w:val="00EA2946"/>
    <w:rsid w:val="00EC39A7"/>
    <w:rsid w:val="00ED3A58"/>
    <w:rsid w:val="00EE0B92"/>
    <w:rsid w:val="00EE3081"/>
    <w:rsid w:val="00EF64F8"/>
    <w:rsid w:val="00F027FA"/>
    <w:rsid w:val="00F20DAD"/>
    <w:rsid w:val="00F2765C"/>
    <w:rsid w:val="00F32729"/>
    <w:rsid w:val="00F32DD9"/>
    <w:rsid w:val="00F3312C"/>
    <w:rsid w:val="00F43090"/>
    <w:rsid w:val="00F5434B"/>
    <w:rsid w:val="00F633B7"/>
    <w:rsid w:val="00F72EE6"/>
    <w:rsid w:val="00F81AFF"/>
    <w:rsid w:val="00F81E9F"/>
    <w:rsid w:val="00F82834"/>
    <w:rsid w:val="00F91682"/>
    <w:rsid w:val="00FA3072"/>
    <w:rsid w:val="00FB71FB"/>
    <w:rsid w:val="00FC19DF"/>
    <w:rsid w:val="00FD6056"/>
    <w:rsid w:val="00FD7CE9"/>
    <w:rsid w:val="00FE1EC7"/>
    <w:rsid w:val="00FE5C85"/>
    <w:rsid w:val="00FF006A"/>
    <w:rsid w:val="00FF0E02"/>
    <w:rsid w:val="00FF274F"/>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56788577">
      <w:bodyDiv w:val="1"/>
      <w:marLeft w:val="0"/>
      <w:marRight w:val="0"/>
      <w:marTop w:val="0"/>
      <w:marBottom w:val="0"/>
      <w:divBdr>
        <w:top w:val="none" w:sz="0" w:space="0" w:color="auto"/>
        <w:left w:val="none" w:sz="0" w:space="0" w:color="auto"/>
        <w:bottom w:val="none" w:sz="0" w:space="0" w:color="auto"/>
        <w:right w:val="none" w:sz="0" w:space="0" w:color="auto"/>
      </w:divBdr>
    </w:div>
    <w:div w:id="265626218">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29088258">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7842998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60833514">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12674692">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30487251">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072386">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167283643">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26601009">
      <w:bodyDiv w:val="1"/>
      <w:marLeft w:val="0"/>
      <w:marRight w:val="0"/>
      <w:marTop w:val="0"/>
      <w:marBottom w:val="0"/>
      <w:divBdr>
        <w:top w:val="none" w:sz="0" w:space="0" w:color="auto"/>
        <w:left w:val="none" w:sz="0" w:space="0" w:color="auto"/>
        <w:bottom w:val="none" w:sz="0" w:space="0" w:color="auto"/>
        <w:right w:val="none" w:sz="0" w:space="0" w:color="auto"/>
      </w:divBdr>
    </w:div>
    <w:div w:id="1239362305">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60680103">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1217694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1680210">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554079829">
      <w:bodyDiv w:val="1"/>
      <w:marLeft w:val="0"/>
      <w:marRight w:val="0"/>
      <w:marTop w:val="0"/>
      <w:marBottom w:val="0"/>
      <w:divBdr>
        <w:top w:val="none" w:sz="0" w:space="0" w:color="auto"/>
        <w:left w:val="none" w:sz="0" w:space="0" w:color="auto"/>
        <w:bottom w:val="none" w:sz="0" w:space="0" w:color="auto"/>
        <w:right w:val="none" w:sz="0" w:space="0" w:color="auto"/>
      </w:divBdr>
    </w:div>
    <w:div w:id="1590194500">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844273340">
      <w:bodyDiv w:val="1"/>
      <w:marLeft w:val="0"/>
      <w:marRight w:val="0"/>
      <w:marTop w:val="0"/>
      <w:marBottom w:val="0"/>
      <w:divBdr>
        <w:top w:val="none" w:sz="0" w:space="0" w:color="auto"/>
        <w:left w:val="none" w:sz="0" w:space="0" w:color="auto"/>
        <w:bottom w:val="none" w:sz="0" w:space="0" w:color="auto"/>
        <w:right w:val="none" w:sz="0" w:space="0" w:color="auto"/>
      </w:divBdr>
    </w:div>
    <w:div w:id="1847357993">
      <w:bodyDiv w:val="1"/>
      <w:marLeft w:val="0"/>
      <w:marRight w:val="0"/>
      <w:marTop w:val="0"/>
      <w:marBottom w:val="0"/>
      <w:divBdr>
        <w:top w:val="none" w:sz="0" w:space="0" w:color="auto"/>
        <w:left w:val="none" w:sz="0" w:space="0" w:color="auto"/>
        <w:bottom w:val="none" w:sz="0" w:space="0" w:color="auto"/>
        <w:right w:val="none" w:sz="0" w:space="0" w:color="auto"/>
      </w:divBdr>
    </w:div>
    <w:div w:id="1859125312">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1991860634">
      <w:bodyDiv w:val="1"/>
      <w:marLeft w:val="0"/>
      <w:marRight w:val="0"/>
      <w:marTop w:val="0"/>
      <w:marBottom w:val="0"/>
      <w:divBdr>
        <w:top w:val="none" w:sz="0" w:space="0" w:color="auto"/>
        <w:left w:val="none" w:sz="0" w:space="0" w:color="auto"/>
        <w:bottom w:val="none" w:sz="0" w:space="0" w:color="auto"/>
        <w:right w:val="none" w:sz="0" w:space="0" w:color="auto"/>
      </w:divBdr>
    </w:div>
    <w:div w:id="2015064513">
      <w:bodyDiv w:val="1"/>
      <w:marLeft w:val="0"/>
      <w:marRight w:val="0"/>
      <w:marTop w:val="0"/>
      <w:marBottom w:val="0"/>
      <w:divBdr>
        <w:top w:val="none" w:sz="0" w:space="0" w:color="auto"/>
        <w:left w:val="none" w:sz="0" w:space="0" w:color="auto"/>
        <w:bottom w:val="none" w:sz="0" w:space="0" w:color="auto"/>
        <w:right w:val="none" w:sz="0" w:space="0" w:color="auto"/>
      </w:divBdr>
    </w:div>
    <w:div w:id="2046247768">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42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5;&#1086;&#1103;&#1073;&#1088;&#1100;%202018%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5;&#1086;&#1103;&#1073;&#1088;&#1100;%202018%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5;&#1086;&#1103;&#1073;&#1088;&#1100;%202018%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5;&#1086;&#1103;&#1073;&#1088;&#1100;%202018%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5;&#1080;&#1081;%20&#1089;&#1090;&#1086;&#1083;\&#1054;&#1073;&#1079;&#1086;&#1088;&#1099;%20&#1088;&#1099;&#1085;&#1082;&#1072;\&#1050;&#1074;&#1072;&#1088;&#1090;&#1080;&#1088;&#1099;%20-%20&#1088;&#1072;&#1089;&#1095;&#1077;&#1090;&#1099;%20&#1085;&#1086;&#1103;&#1073;&#1088;&#1100;%202018%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a:solidFill>
                <a:schemeClr val="accent3"/>
              </a:solidFill>
            </a:ln>
          </c:spPr>
          <c:marker>
            <c:symbol val="none"/>
          </c:marker>
          <c:dPt>
            <c:idx val="46"/>
            <c:marker>
              <c:symbol val="diamond"/>
              <c:size val="5"/>
            </c:marker>
            <c:bubble3D val="0"/>
          </c:dPt>
          <c:dLbls>
            <c:dLbl>
              <c:idx val="0"/>
              <c:showLegendKey val="0"/>
              <c:showVal val="1"/>
              <c:showCatName val="0"/>
              <c:showSerName val="0"/>
              <c:showPercent val="0"/>
              <c:showBubbleSize val="0"/>
            </c:dLbl>
            <c:dLbl>
              <c:idx val="36"/>
              <c:showLegendKey val="0"/>
              <c:showVal val="1"/>
              <c:showCatName val="0"/>
              <c:showSerName val="0"/>
              <c:showPercent val="0"/>
              <c:showBubbleSize val="0"/>
            </c:dLbl>
            <c:dLbl>
              <c:idx val="46"/>
              <c:layout>
                <c:manualLayout>
                  <c:x val="-1.5741831972429234E-3"/>
                  <c:y val="8.6605080831408776E-2"/>
                </c:manualLayout>
              </c:layout>
              <c:tx>
                <c:rich>
                  <a:bodyPr/>
                  <a:lstStyle/>
                  <a:p>
                    <a:r>
                      <a:rPr lang="en-US"/>
                      <a:t>107 9</a:t>
                    </a:r>
                    <a:r>
                      <a:rPr lang="ru-RU"/>
                      <a:t>17</a:t>
                    </a:r>
                    <a:endParaRPr lang="en-US"/>
                  </a:p>
                </c:rich>
              </c:tx>
              <c:showLegendKey val="0"/>
              <c:showVal val="1"/>
              <c:showCatName val="0"/>
              <c:showSerName val="0"/>
              <c:showPercent val="0"/>
              <c:showBubbleSize val="0"/>
            </c:dLbl>
            <c:showLegendKey val="0"/>
            <c:showVal val="0"/>
            <c:showCatName val="0"/>
            <c:showSerName val="0"/>
            <c:showPercent val="0"/>
            <c:showBubbleSize val="0"/>
          </c:dLbls>
          <c:cat>
            <c:numRef>
              <c:f>динамика!$A$1:$A$47</c:f>
              <c:numCache>
                <c:formatCode>mmm\-yy</c:formatCode>
                <c:ptCount val="47"/>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numCache>
            </c:numRef>
          </c:cat>
          <c:val>
            <c:numRef>
              <c:f>динамика!$B$1:$B$47</c:f>
              <c:numCache>
                <c:formatCode>#,##0</c:formatCode>
                <c:ptCount val="47"/>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pt idx="26">
                  <c:v>94275</c:v>
                </c:pt>
                <c:pt idx="27">
                  <c:v>95055</c:v>
                </c:pt>
                <c:pt idx="28">
                  <c:v>94562</c:v>
                </c:pt>
                <c:pt idx="29">
                  <c:v>93812.37535754485</c:v>
                </c:pt>
                <c:pt idx="30">
                  <c:v>94770</c:v>
                </c:pt>
                <c:pt idx="31">
                  <c:v>96155.016385066672</c:v>
                </c:pt>
                <c:pt idx="32">
                  <c:v>94974</c:v>
                </c:pt>
                <c:pt idx="33">
                  <c:v>93339</c:v>
                </c:pt>
                <c:pt idx="34">
                  <c:v>99146</c:v>
                </c:pt>
                <c:pt idx="35">
                  <c:v>96046</c:v>
                </c:pt>
                <c:pt idx="36">
                  <c:v>96319</c:v>
                </c:pt>
                <c:pt idx="37">
                  <c:v>96534</c:v>
                </c:pt>
                <c:pt idx="38">
                  <c:v>98692</c:v>
                </c:pt>
                <c:pt idx="39">
                  <c:v>99878</c:v>
                </c:pt>
                <c:pt idx="40">
                  <c:v>100579</c:v>
                </c:pt>
                <c:pt idx="41">
                  <c:v>101454</c:v>
                </c:pt>
                <c:pt idx="42">
                  <c:v>102663</c:v>
                </c:pt>
                <c:pt idx="43">
                  <c:v>104209</c:v>
                </c:pt>
                <c:pt idx="44">
                  <c:v>105234</c:v>
                </c:pt>
                <c:pt idx="45">
                  <c:v>106157</c:v>
                </c:pt>
                <c:pt idx="46">
                  <c:v>107921</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marker val="1"/>
        <c:smooth val="0"/>
        <c:axId val="233651712"/>
        <c:axId val="229062848"/>
      </c:lineChart>
      <c:dateAx>
        <c:axId val="233651712"/>
        <c:scaling>
          <c:orientation val="minMax"/>
        </c:scaling>
        <c:delete val="0"/>
        <c:axPos val="b"/>
        <c:majorGridlines/>
        <c:numFmt formatCode="[$-F419]yyyy\,\ mmmm;@" sourceLinked="0"/>
        <c:majorTickMark val="none"/>
        <c:minorTickMark val="none"/>
        <c:tickLblPos val="nextTo"/>
        <c:crossAx val="229062848"/>
        <c:crosses val="autoZero"/>
        <c:auto val="1"/>
        <c:lblOffset val="100"/>
        <c:baseTimeUnit val="months"/>
        <c:majorUnit val="1"/>
        <c:majorTimeUnit val="years"/>
        <c:minorUnit val="1"/>
        <c:minorTimeUnit val="months"/>
      </c:dateAx>
      <c:valAx>
        <c:axId val="229062848"/>
        <c:scaling>
          <c:orientation val="minMax"/>
        </c:scaling>
        <c:delete val="0"/>
        <c:axPos val="l"/>
        <c:majorGridlines/>
        <c:numFmt formatCode="#,##0" sourceLinked="1"/>
        <c:majorTickMark val="none"/>
        <c:minorTickMark val="none"/>
        <c:tickLblPos val="nextTo"/>
        <c:spPr>
          <a:ln w="6350">
            <a:noFill/>
          </a:ln>
        </c:spPr>
        <c:crossAx val="233651712"/>
        <c:crosses val="autoZero"/>
        <c:crossBetween val="between"/>
        <c:majorUnit val="100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ноябрь 2018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помещения'!$B$4:$B$11</c:f>
              <c:numCache>
                <c:formatCode>#,##0</c:formatCode>
                <c:ptCount val="6"/>
                <c:pt idx="0">
                  <c:v>27906.976744186046</c:v>
                </c:pt>
                <c:pt idx="1">
                  <c:v>28113.207547169812</c:v>
                </c:pt>
                <c:pt idx="2">
                  <c:v>27000</c:v>
                </c:pt>
                <c:pt idx="3">
                  <c:v>36666.666666666664</c:v>
                </c:pt>
                <c:pt idx="4">
                  <c:v>36363.63636363636</c:v>
                </c:pt>
                <c:pt idx="5">
                  <c:v>27777.777777777777</c:v>
                </c:pt>
              </c:numCache>
            </c:numRef>
          </c:val>
        </c:ser>
        <c:ser>
          <c:idx val="1"/>
          <c:order val="1"/>
          <c:tx>
            <c:strRef>
              <c:f>'Вид помещения'!$C$3</c:f>
              <c:strCache>
                <c:ptCount val="1"/>
                <c:pt idx="0">
                  <c:v>Средняя</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помещения'!$C$4:$C$11</c:f>
              <c:numCache>
                <c:formatCode>#,##0</c:formatCode>
                <c:ptCount val="6"/>
                <c:pt idx="0">
                  <c:v>110106.9881232523</c:v>
                </c:pt>
                <c:pt idx="1">
                  <c:v>103512.54524931066</c:v>
                </c:pt>
                <c:pt idx="2">
                  <c:v>102709.07984921703</c:v>
                </c:pt>
                <c:pt idx="3">
                  <c:v>105107.03963980978</c:v>
                </c:pt>
                <c:pt idx="4">
                  <c:v>111677.17958267481</c:v>
                </c:pt>
                <c:pt idx="5">
                  <c:v>97361.925816205272</c:v>
                </c:pt>
              </c:numCache>
            </c:numRef>
          </c:val>
        </c:ser>
        <c:ser>
          <c:idx val="2"/>
          <c:order val="2"/>
          <c:tx>
            <c:strRef>
              <c:f>'Вид помещения'!$D$3</c:f>
              <c:strCache>
                <c:ptCount val="1"/>
                <c:pt idx="0">
                  <c:v>Макс</c:v>
                </c:pt>
              </c:strCache>
            </c:strRef>
          </c:tx>
          <c:invertIfNegative val="0"/>
          <c:cat>
            <c:multiLvlStrRef>
              <c:f>'Вид помещения'!$A$4:$A$11</c:f>
              <c:multiLvlStrCache>
                <c:ptCount val="6"/>
                <c:lvl>
                  <c:pt idx="0">
                    <c:v>1-комнатная</c:v>
                  </c:pt>
                  <c:pt idx="1">
                    <c:v>2-комнатная</c:v>
                  </c:pt>
                  <c:pt idx="2">
                    <c:v>3-комнатная</c:v>
                  </c:pt>
                  <c:pt idx="3">
                    <c:v>4-комнатная и более</c:v>
                  </c:pt>
                  <c:pt idx="4">
                    <c:v>Гостинка</c:v>
                  </c:pt>
                  <c:pt idx="5">
                    <c:v>Комната</c:v>
                  </c:pt>
                </c:lvl>
                <c:lvl>
                  <c:pt idx="0">
                    <c:v>Владивосток</c:v>
                  </c:pt>
                </c:lvl>
              </c:multiLvlStrCache>
            </c:multiLvlStrRef>
          </c:cat>
          <c:val>
            <c:numRef>
              <c:f>'Вид помещения'!$D$4:$D$11</c:f>
              <c:numCache>
                <c:formatCode>#,##0</c:formatCode>
                <c:ptCount val="6"/>
                <c:pt idx="0">
                  <c:v>236842.10526315789</c:v>
                </c:pt>
                <c:pt idx="1">
                  <c:v>272121.2121212121</c:v>
                </c:pt>
                <c:pt idx="2">
                  <c:v>300000</c:v>
                </c:pt>
                <c:pt idx="3">
                  <c:v>270012.09677419357</c:v>
                </c:pt>
                <c:pt idx="4">
                  <c:v>200000</c:v>
                </c:pt>
                <c:pt idx="5">
                  <c:v>170000</c:v>
                </c:pt>
              </c:numCache>
            </c:numRef>
          </c:val>
        </c:ser>
        <c:dLbls>
          <c:showLegendKey val="0"/>
          <c:showVal val="0"/>
          <c:showCatName val="0"/>
          <c:showSerName val="0"/>
          <c:showPercent val="0"/>
          <c:showBubbleSize val="0"/>
        </c:dLbls>
        <c:gapWidth val="150"/>
        <c:axId val="251914752"/>
        <c:axId val="236419264"/>
      </c:barChart>
      <c:catAx>
        <c:axId val="251914752"/>
        <c:scaling>
          <c:orientation val="minMax"/>
        </c:scaling>
        <c:delete val="0"/>
        <c:axPos val="b"/>
        <c:numFmt formatCode="General" sourceLinked="0"/>
        <c:majorTickMark val="none"/>
        <c:minorTickMark val="none"/>
        <c:tickLblPos val="nextTo"/>
        <c:crossAx val="236419264"/>
        <c:crosses val="autoZero"/>
        <c:auto val="1"/>
        <c:lblAlgn val="ctr"/>
        <c:lblOffset val="100"/>
        <c:noMultiLvlLbl val="0"/>
      </c:catAx>
      <c:valAx>
        <c:axId val="236419264"/>
        <c:scaling>
          <c:orientation val="minMax"/>
        </c:scaling>
        <c:delete val="0"/>
        <c:axPos val="l"/>
        <c:majorGridlines/>
        <c:numFmt formatCode="#,##0" sourceLinked="1"/>
        <c:majorTickMark val="out"/>
        <c:minorTickMark val="none"/>
        <c:tickLblPos val="nextTo"/>
        <c:crossAx val="251914752"/>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ноябрь 2018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pivotFmt>
      <c:pivotFmt>
        <c:idx val="17"/>
        <c:spPr>
          <a:solidFill>
            <a:srgbClr val="00B050"/>
          </a:solidFill>
        </c:spPr>
      </c:pivotFmt>
      <c:pivotFmt>
        <c:idx val="18"/>
        <c:spPr>
          <a:solidFill>
            <a:srgbClr val="FF0000"/>
          </a:solidFill>
        </c:spPr>
      </c:pivotFmt>
      <c:pivotFmt>
        <c:idx val="19"/>
        <c:marker>
          <c:symbol val="none"/>
        </c:marker>
      </c:pivotFmt>
      <c:pivotFmt>
        <c:idx val="20"/>
        <c:spPr>
          <a:solidFill>
            <a:srgbClr val="FF0000"/>
          </a:solidFill>
        </c:spPr>
      </c:pivotFmt>
      <c:pivotFmt>
        <c:idx val="21"/>
        <c:spPr>
          <a:solidFill>
            <a:srgbClr val="00B050"/>
          </a:solidFill>
        </c:spPr>
      </c:pivotFmt>
      <c:pivotFmt>
        <c:idx val="22"/>
        <c:marker>
          <c:symbol val="none"/>
        </c:marker>
      </c:pivotFmt>
      <c:pivotFmt>
        <c:idx val="23"/>
        <c:spPr>
          <a:solidFill>
            <a:srgbClr val="FF0000"/>
          </a:solidFill>
        </c:spPr>
      </c:pivotFmt>
      <c:pivotFmt>
        <c:idx val="24"/>
        <c:spPr>
          <a:solidFill>
            <a:srgbClr val="00B050"/>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rgbClr val="00B050"/>
              </a:solidFill>
            </c:spPr>
          </c:dPt>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96694.557051792886</c:v>
                </c:pt>
                <c:pt idx="1">
                  <c:v>106391.73216583309</c:v>
                </c:pt>
                <c:pt idx="2">
                  <c:v>101513.86563417896</c:v>
                </c:pt>
              </c:numCache>
            </c:numRef>
          </c:val>
        </c:ser>
        <c:dLbls>
          <c:showLegendKey val="0"/>
          <c:showVal val="0"/>
          <c:showCatName val="0"/>
          <c:showSerName val="0"/>
          <c:showPercent val="0"/>
          <c:showBubbleSize val="0"/>
        </c:dLbls>
        <c:gapWidth val="150"/>
        <c:shape val="cylinder"/>
        <c:axId val="251914240"/>
        <c:axId val="246077056"/>
        <c:axId val="0"/>
      </c:bar3DChart>
      <c:catAx>
        <c:axId val="251914240"/>
        <c:scaling>
          <c:orientation val="minMax"/>
        </c:scaling>
        <c:delete val="0"/>
        <c:axPos val="b"/>
        <c:numFmt formatCode="General" sourceLinked="0"/>
        <c:majorTickMark val="out"/>
        <c:minorTickMark val="none"/>
        <c:tickLblPos val="nextTo"/>
        <c:crossAx val="246077056"/>
        <c:crosses val="autoZero"/>
        <c:auto val="1"/>
        <c:lblAlgn val="ctr"/>
        <c:lblOffset val="100"/>
        <c:noMultiLvlLbl val="0"/>
      </c:catAx>
      <c:valAx>
        <c:axId val="246077056"/>
        <c:scaling>
          <c:orientation val="minMax"/>
        </c:scaling>
        <c:delete val="0"/>
        <c:axPos val="l"/>
        <c:majorGridlines/>
        <c:numFmt formatCode="#,##0" sourceLinked="1"/>
        <c:majorTickMark val="out"/>
        <c:minorTickMark val="none"/>
        <c:tickLblPos val="nextTo"/>
        <c:crossAx val="251914240"/>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ноябрь 2018 влд.xlsx]Тип дома!СводнаяТаблица1</c:name>
    <c:fmtId val="-1"/>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marker>
          <c:symbol val="none"/>
        </c:marker>
      </c:pivotFmt>
      <c:pivotFmt>
        <c:idx val="11"/>
        <c:spPr>
          <a:solidFill>
            <a:schemeClr val="accent6">
              <a:lumMod val="50000"/>
            </a:schemeClr>
          </a:solidFill>
        </c:spPr>
      </c:pivotFmt>
      <c:pivotFmt>
        <c:idx val="12"/>
        <c:spPr>
          <a:solidFill>
            <a:schemeClr val="bg1">
              <a:lumMod val="50000"/>
            </a:schemeClr>
          </a:solidFill>
        </c:spPr>
      </c:pivotFmt>
      <c:pivotFmt>
        <c:idx val="13"/>
        <c:spPr>
          <a:solidFill>
            <a:schemeClr val="bg2">
              <a:lumMod val="50000"/>
            </a:schemeClr>
          </a:solidFill>
        </c:spPr>
      </c:pivotFmt>
      <c:pivotFmt>
        <c:idx val="14"/>
        <c:marker>
          <c:symbol val="none"/>
        </c:marker>
      </c:pivotFmt>
      <c:pivotFmt>
        <c:idx val="15"/>
        <c:spPr>
          <a:solidFill>
            <a:schemeClr val="bg2">
              <a:lumMod val="50000"/>
            </a:schemeClr>
          </a:solidFill>
        </c:spPr>
      </c:pivotFmt>
      <c:pivotFmt>
        <c:idx val="16"/>
        <c:spPr>
          <a:solidFill>
            <a:schemeClr val="accent6">
              <a:lumMod val="50000"/>
            </a:schemeClr>
          </a:solidFill>
        </c:spPr>
      </c:pivotFmt>
      <c:pivotFmt>
        <c:idx val="17"/>
        <c:spPr>
          <a:solidFill>
            <a:schemeClr val="bg1">
              <a:lumMod val="50000"/>
            </a:schemeClr>
          </a:solidFill>
        </c:spPr>
      </c:pivotFmt>
      <c:pivotFmt>
        <c:idx val="18"/>
        <c:marker>
          <c:symbol val="none"/>
        </c:marker>
      </c:pivotFmt>
      <c:pivotFmt>
        <c:idx val="19"/>
        <c:spPr>
          <a:solidFill>
            <a:schemeClr val="bg2">
              <a:lumMod val="50000"/>
            </a:schemeClr>
          </a:solidFill>
        </c:spPr>
      </c:pivotFmt>
      <c:pivotFmt>
        <c:idx val="20"/>
        <c:spPr>
          <a:solidFill>
            <a:schemeClr val="accent6">
              <a:lumMod val="50000"/>
            </a:schemeClr>
          </a:solidFill>
        </c:spPr>
      </c:pivotFmt>
      <c:pivotFmt>
        <c:idx val="21"/>
        <c:spPr>
          <a:solidFill>
            <a:schemeClr val="bg1">
              <a:lumMod val="5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invertIfNegative val="0"/>
          <c:dPt>
            <c:idx val="0"/>
            <c:invertIfNegative val="0"/>
            <c:bubble3D val="0"/>
            <c:spPr>
              <a:solidFill>
                <a:schemeClr val="bg2">
                  <a:lumMod val="50000"/>
                </a:schemeClr>
              </a:solidFill>
            </c:spPr>
          </c:dPt>
          <c:dPt>
            <c:idx val="1"/>
            <c:invertIfNegative val="0"/>
            <c:bubble3D val="0"/>
            <c:spPr>
              <a:solidFill>
                <a:schemeClr val="accent6">
                  <a:lumMod val="50000"/>
                </a:schemeClr>
              </a:solidFill>
            </c:spPr>
          </c:dPt>
          <c:dPt>
            <c:idx val="3"/>
            <c:invertIfNegative val="0"/>
            <c:bubble3D val="0"/>
            <c:spPr>
              <a:solidFill>
                <a:schemeClr val="bg1">
                  <a:lumMod val="50000"/>
                </a:schemeClr>
              </a:solidFill>
            </c:spPr>
          </c:dPt>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73092.331464909672</c:v>
                </c:pt>
                <c:pt idx="1">
                  <c:v>108824.61068782731</c:v>
                </c:pt>
                <c:pt idx="2">
                  <c:v>117875.70423386306</c:v>
                </c:pt>
                <c:pt idx="3">
                  <c:v>98949.51053473592</c:v>
                </c:pt>
                <c:pt idx="4">
                  <c:v>88885.383508128187</c:v>
                </c:pt>
              </c:numCache>
            </c:numRef>
          </c:val>
        </c:ser>
        <c:dLbls>
          <c:showLegendKey val="0"/>
          <c:showVal val="0"/>
          <c:showCatName val="0"/>
          <c:showSerName val="0"/>
          <c:showPercent val="0"/>
          <c:showBubbleSize val="0"/>
        </c:dLbls>
        <c:gapWidth val="150"/>
        <c:shape val="cylinder"/>
        <c:axId val="251915776"/>
        <c:axId val="246078784"/>
        <c:axId val="0"/>
      </c:bar3DChart>
      <c:catAx>
        <c:axId val="251915776"/>
        <c:scaling>
          <c:orientation val="minMax"/>
        </c:scaling>
        <c:delete val="0"/>
        <c:axPos val="b"/>
        <c:numFmt formatCode="General" sourceLinked="0"/>
        <c:majorTickMark val="out"/>
        <c:minorTickMark val="none"/>
        <c:tickLblPos val="nextTo"/>
        <c:crossAx val="246078784"/>
        <c:crosses val="autoZero"/>
        <c:auto val="1"/>
        <c:lblAlgn val="ctr"/>
        <c:lblOffset val="100"/>
        <c:noMultiLvlLbl val="0"/>
      </c:catAx>
      <c:valAx>
        <c:axId val="246078784"/>
        <c:scaling>
          <c:orientation val="minMax"/>
        </c:scaling>
        <c:delete val="0"/>
        <c:axPos val="l"/>
        <c:majorGridlines/>
        <c:numFmt formatCode="#,##0" sourceLinked="1"/>
        <c:majorTickMark val="out"/>
        <c:minorTickMark val="none"/>
        <c:tickLblPos val="nextTo"/>
        <c:crossAx val="251915776"/>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итоги!$B$29</c:f>
              <c:strCache>
                <c:ptCount val="1"/>
                <c:pt idx="0">
                  <c:v>Минимум</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итоги!$B$30:$B$57</c:f>
              <c:numCache>
                <c:formatCode>#,##0</c:formatCode>
                <c:ptCount val="28"/>
                <c:pt idx="0">
                  <c:v>38333.333333333336</c:v>
                </c:pt>
                <c:pt idx="1">
                  <c:v>59722.222222222219</c:v>
                </c:pt>
                <c:pt idx="2">
                  <c:v>78571.428571428565</c:v>
                </c:pt>
                <c:pt idx="3">
                  <c:v>57926.829268292684</c:v>
                </c:pt>
                <c:pt idx="4">
                  <c:v>49019.607843137252</c:v>
                </c:pt>
                <c:pt idx="5">
                  <c:v>65789.473684210519</c:v>
                </c:pt>
                <c:pt idx="6">
                  <c:v>50367.647058823532</c:v>
                </c:pt>
                <c:pt idx="7">
                  <c:v>54347.82608695652</c:v>
                </c:pt>
                <c:pt idx="8">
                  <c:v>54166.666666666664</c:v>
                </c:pt>
                <c:pt idx="9">
                  <c:v>31428.571428571428</c:v>
                </c:pt>
                <c:pt idx="10">
                  <c:v>27000</c:v>
                </c:pt>
                <c:pt idx="11">
                  <c:v>75274.41860465116</c:v>
                </c:pt>
                <c:pt idx="12">
                  <c:v>62187.5</c:v>
                </c:pt>
                <c:pt idx="13">
                  <c:v>29310.344827586207</c:v>
                </c:pt>
                <c:pt idx="14">
                  <c:v>36764.705882352944</c:v>
                </c:pt>
                <c:pt idx="15">
                  <c:v>36666.666666666664</c:v>
                </c:pt>
                <c:pt idx="16">
                  <c:v>50000</c:v>
                </c:pt>
                <c:pt idx="17">
                  <c:v>56420</c:v>
                </c:pt>
                <c:pt idx="18">
                  <c:v>66666.666666666672</c:v>
                </c:pt>
                <c:pt idx="19">
                  <c:v>61363.63636363636</c:v>
                </c:pt>
                <c:pt idx="20">
                  <c:v>59523.809523809527</c:v>
                </c:pt>
                <c:pt idx="21">
                  <c:v>70967.741935483864</c:v>
                </c:pt>
                <c:pt idx="22">
                  <c:v>50000</c:v>
                </c:pt>
                <c:pt idx="23">
                  <c:v>46551.706896551725</c:v>
                </c:pt>
                <c:pt idx="24">
                  <c:v>28113.207547169812</c:v>
                </c:pt>
                <c:pt idx="25">
                  <c:v>38194.444444444445</c:v>
                </c:pt>
                <c:pt idx="26">
                  <c:v>27777.777777777777</c:v>
                </c:pt>
                <c:pt idx="27">
                  <c:v>53191.48936170213</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итоги!$C$29</c:f>
              <c:strCache>
                <c:ptCount val="1"/>
                <c:pt idx="0">
                  <c:v>Средняя</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итоги!$C$30:$C$57</c:f>
              <c:numCache>
                <c:formatCode>#,##0</c:formatCode>
                <c:ptCount val="28"/>
                <c:pt idx="0">
                  <c:v>93254.323290911721</c:v>
                </c:pt>
                <c:pt idx="1">
                  <c:v>100218.60764587938</c:v>
                </c:pt>
                <c:pt idx="2">
                  <c:v>103171.58872887993</c:v>
                </c:pt>
                <c:pt idx="3">
                  <c:v>92847.892958263867</c:v>
                </c:pt>
                <c:pt idx="4">
                  <c:v>104618.13891027283</c:v>
                </c:pt>
                <c:pt idx="5">
                  <c:v>106847.75319610034</c:v>
                </c:pt>
                <c:pt idx="6">
                  <c:v>94520.828343005458</c:v>
                </c:pt>
                <c:pt idx="7">
                  <c:v>96978.036420386125</c:v>
                </c:pt>
                <c:pt idx="8">
                  <c:v>124316.56499130338</c:v>
                </c:pt>
                <c:pt idx="9">
                  <c:v>62993.476337494329</c:v>
                </c:pt>
                <c:pt idx="10">
                  <c:v>91856.067134672325</c:v>
                </c:pt>
                <c:pt idx="11">
                  <c:v>107623.77514621634</c:v>
                </c:pt>
                <c:pt idx="12">
                  <c:v>130532.61020631871</c:v>
                </c:pt>
                <c:pt idx="13">
                  <c:v>72869.498863559013</c:v>
                </c:pt>
                <c:pt idx="14">
                  <c:v>86466.034823804293</c:v>
                </c:pt>
                <c:pt idx="15">
                  <c:v>103145.50318272038</c:v>
                </c:pt>
                <c:pt idx="16">
                  <c:v>85582.058989580226</c:v>
                </c:pt>
                <c:pt idx="17">
                  <c:v>96885.290378610691</c:v>
                </c:pt>
                <c:pt idx="18">
                  <c:v>109153.27289549509</c:v>
                </c:pt>
                <c:pt idx="19">
                  <c:v>96747.849537677947</c:v>
                </c:pt>
                <c:pt idx="20">
                  <c:v>100878.12453778353</c:v>
                </c:pt>
                <c:pt idx="21">
                  <c:v>109948.85685302519</c:v>
                </c:pt>
                <c:pt idx="22">
                  <c:v>91715.096538030906</c:v>
                </c:pt>
                <c:pt idx="23">
                  <c:v>80351.687089956366</c:v>
                </c:pt>
                <c:pt idx="24">
                  <c:v>93454.084798698022</c:v>
                </c:pt>
                <c:pt idx="25">
                  <c:v>139142.22658512503</c:v>
                </c:pt>
                <c:pt idx="26">
                  <c:v>96712.543951574742</c:v>
                </c:pt>
                <c:pt idx="27">
                  <c:v>120113.0045457059</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итоги!$D$29</c:f>
              <c:strCache>
                <c:ptCount val="1"/>
                <c:pt idx="0">
                  <c:v>Максимум</c:v>
                </c:pt>
              </c:strCache>
            </c:strRef>
          </c:tx>
          <c:invertIfNegative val="0"/>
          <c:cat>
            <c:strRef>
              <c:f>итоги!$A$30:$A$57</c:f>
              <c:strCache>
                <c:ptCount val="28"/>
                <c:pt idx="0">
                  <c:v>64, 71 микр.</c:v>
                </c:pt>
                <c:pt idx="1">
                  <c:v>Баляева</c:v>
                </c:pt>
                <c:pt idx="2">
                  <c:v>БАМ</c:v>
                </c:pt>
                <c:pt idx="3">
                  <c:v>Борисенко</c:v>
                </c:pt>
                <c:pt idx="4">
                  <c:v>Вторая речка</c:v>
                </c:pt>
                <c:pt idx="5">
                  <c:v>Гайдамак</c:v>
                </c:pt>
                <c:pt idx="6">
                  <c:v>Заря</c:v>
                </c:pt>
                <c:pt idx="7">
                  <c:v>Луговая</c:v>
                </c:pt>
                <c:pt idx="8">
                  <c:v>Некрасовская</c:v>
                </c:pt>
                <c:pt idx="9">
                  <c:v>о. Русский</c:v>
                </c:pt>
                <c:pt idx="10">
                  <c:v>Океанская</c:v>
                </c:pt>
                <c:pt idx="11">
                  <c:v>Патрокл</c:v>
                </c:pt>
                <c:pt idx="12">
                  <c:v>Первая речка</c:v>
                </c:pt>
                <c:pt idx="13">
                  <c:v>Пригород</c:v>
                </c:pt>
                <c:pt idx="14">
                  <c:v>Садгород</c:v>
                </c:pt>
                <c:pt idx="15">
                  <c:v>Седанка</c:v>
                </c:pt>
                <c:pt idx="16">
                  <c:v>Снеговая</c:v>
                </c:pt>
                <c:pt idx="17">
                  <c:v>Снеговая падь</c:v>
                </c:pt>
                <c:pt idx="18">
                  <c:v>Столетие</c:v>
                </c:pt>
                <c:pt idx="19">
                  <c:v>Тихая</c:v>
                </c:pt>
                <c:pt idx="20">
                  <c:v>Толстого (Буссе)</c:v>
                </c:pt>
                <c:pt idx="21">
                  <c:v>Третья рабочая</c:v>
                </c:pt>
                <c:pt idx="22">
                  <c:v>Трудовая</c:v>
                </c:pt>
                <c:pt idx="23">
                  <c:v>Трудовое</c:v>
                </c:pt>
                <c:pt idx="24">
                  <c:v>Фадеева</c:v>
                </c:pt>
                <c:pt idx="25">
                  <c:v>Центр</c:v>
                </c:pt>
                <c:pt idx="26">
                  <c:v>Чуркин</c:v>
                </c:pt>
                <c:pt idx="27">
                  <c:v>Эгершельд</c:v>
                </c:pt>
              </c:strCache>
            </c:strRef>
          </c:cat>
          <c:val>
            <c:numRef>
              <c:f>итоги!$D$30:$D$57</c:f>
              <c:numCache>
                <c:formatCode>#,##0</c:formatCode>
                <c:ptCount val="28"/>
                <c:pt idx="0">
                  <c:v>170000</c:v>
                </c:pt>
                <c:pt idx="1">
                  <c:v>160000</c:v>
                </c:pt>
                <c:pt idx="2">
                  <c:v>147058.82352941178</c:v>
                </c:pt>
                <c:pt idx="3">
                  <c:v>139024.39024390245</c:v>
                </c:pt>
                <c:pt idx="4">
                  <c:v>187500</c:v>
                </c:pt>
                <c:pt idx="5">
                  <c:v>171951.21951219512</c:v>
                </c:pt>
                <c:pt idx="6">
                  <c:v>174358.97435897434</c:v>
                </c:pt>
                <c:pt idx="7">
                  <c:v>162307.69230769231</c:v>
                </c:pt>
                <c:pt idx="8">
                  <c:v>229166.66666666666</c:v>
                </c:pt>
                <c:pt idx="9">
                  <c:v>87500</c:v>
                </c:pt>
                <c:pt idx="10">
                  <c:v>190476.19047619047</c:v>
                </c:pt>
                <c:pt idx="11">
                  <c:v>162564.10256410256</c:v>
                </c:pt>
                <c:pt idx="12">
                  <c:v>213991.76954732509</c:v>
                </c:pt>
                <c:pt idx="13">
                  <c:v>118518.51851851853</c:v>
                </c:pt>
                <c:pt idx="14">
                  <c:v>166250</c:v>
                </c:pt>
                <c:pt idx="15">
                  <c:v>178260.86956521738</c:v>
                </c:pt>
                <c:pt idx="16">
                  <c:v>152272.72727272726</c:v>
                </c:pt>
                <c:pt idx="17">
                  <c:v>156578.94736842104</c:v>
                </c:pt>
                <c:pt idx="18">
                  <c:v>198275.86206896551</c:v>
                </c:pt>
                <c:pt idx="19">
                  <c:v>161904.76190476189</c:v>
                </c:pt>
                <c:pt idx="20">
                  <c:v>121111.11111111111</c:v>
                </c:pt>
                <c:pt idx="21">
                  <c:v>185897.43589743591</c:v>
                </c:pt>
                <c:pt idx="22">
                  <c:v>118750</c:v>
                </c:pt>
                <c:pt idx="23">
                  <c:v>109375</c:v>
                </c:pt>
                <c:pt idx="24">
                  <c:v>150000</c:v>
                </c:pt>
                <c:pt idx="25">
                  <c:v>300000</c:v>
                </c:pt>
                <c:pt idx="26">
                  <c:v>157142.85714285713</c:v>
                </c:pt>
                <c:pt idx="27">
                  <c:v>272121.2121212121</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234209280"/>
        <c:axId val="229549184"/>
        <c:axId val="0"/>
      </c:bar3DChart>
      <c:catAx>
        <c:axId val="234209280"/>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229549184"/>
        <c:crosses val="autoZero"/>
        <c:auto val="1"/>
        <c:lblAlgn val="ctr"/>
        <c:lblOffset val="100"/>
        <c:noMultiLvlLbl val="0"/>
      </c:catAx>
      <c:valAx>
        <c:axId val="229549184"/>
        <c:scaling>
          <c:orientation val="minMax"/>
        </c:scaling>
        <c:delete val="0"/>
        <c:axPos val="l"/>
        <c:majorGridlines/>
        <c:numFmt formatCode="#,##0" sourceLinked="1"/>
        <c:majorTickMark val="out"/>
        <c:minorTickMark val="none"/>
        <c:tickLblPos val="nextTo"/>
        <c:crossAx val="2342092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086F65-2966-467A-B595-64C8C470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Пользователь</cp:lastModifiedBy>
  <cp:revision>2</cp:revision>
  <cp:lastPrinted>2015-06-22T00:42:00Z</cp:lastPrinted>
  <dcterms:created xsi:type="dcterms:W3CDTF">2019-01-07T23:04:00Z</dcterms:created>
  <dcterms:modified xsi:type="dcterms:W3CDTF">2019-01-07T23:04:00Z</dcterms:modified>
</cp:coreProperties>
</file>